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BB" w:rsidRPr="00003006" w:rsidRDefault="00581E93" w:rsidP="00CF14BB">
      <w:pPr>
        <w:spacing w:after="0" w:line="240" w:lineRule="auto"/>
        <w:jc w:val="center"/>
        <w:rPr>
          <w:rFonts w:ascii="Arial" w:eastAsia="Times New Roman" w:hAnsi="Arial" w:cs="Arial"/>
          <w:lang w:eastAsia="pl-PL"/>
        </w:rPr>
      </w:pPr>
      <w:r w:rsidRPr="00003006">
        <w:rPr>
          <w:rFonts w:ascii="Arial" w:eastAsia="Times New Roman" w:hAnsi="Arial" w:cs="Arial"/>
          <w:lang w:eastAsia="pl-PL"/>
        </w:rPr>
        <w:t>I</w:t>
      </w:r>
      <w:r w:rsidRPr="00581E93">
        <w:rPr>
          <w:rFonts w:ascii="Arial" w:eastAsia="Times New Roman" w:hAnsi="Arial" w:cs="Arial"/>
          <w:lang w:eastAsia="pl-PL"/>
        </w:rPr>
        <w:t>NFORMACJA</w:t>
      </w:r>
      <w:bookmarkStart w:id="0" w:name="_GoBack"/>
      <w:bookmarkEnd w:id="0"/>
    </w:p>
    <w:p w:rsidR="00581E93" w:rsidRPr="00581E93" w:rsidRDefault="00581E93" w:rsidP="00B109FB">
      <w:pPr>
        <w:spacing w:after="0" w:line="240" w:lineRule="auto"/>
        <w:jc w:val="both"/>
        <w:rPr>
          <w:rFonts w:ascii="Arial" w:eastAsia="Times New Roman" w:hAnsi="Arial" w:cs="Arial"/>
          <w:sz w:val="20"/>
          <w:szCs w:val="20"/>
          <w:lang w:eastAsia="pl-PL"/>
        </w:rPr>
      </w:pPr>
      <w:r w:rsidRPr="00581E93">
        <w:rPr>
          <w:rFonts w:ascii="Arial" w:eastAsia="Times New Roman" w:hAnsi="Arial" w:cs="Arial"/>
          <w:sz w:val="20"/>
          <w:szCs w:val="20"/>
          <w:lang w:eastAsia="pl-PL"/>
        </w:rPr>
        <w:t xml:space="preserve">o uczestnictwie </w:t>
      </w:r>
      <w:r w:rsidR="00B109FB" w:rsidRPr="00EC10E3">
        <w:rPr>
          <w:rFonts w:ascii="Arial" w:eastAsia="Times New Roman" w:hAnsi="Arial" w:cs="Arial"/>
          <w:sz w:val="20"/>
          <w:szCs w:val="20"/>
          <w:lang w:eastAsia="pl-PL"/>
        </w:rPr>
        <w:t xml:space="preserve">Banku </w:t>
      </w:r>
      <w:r w:rsidR="00002AD4">
        <w:rPr>
          <w:rFonts w:ascii="Arial" w:eastAsia="Times New Roman" w:hAnsi="Arial" w:cs="Arial"/>
          <w:sz w:val="20"/>
          <w:szCs w:val="20"/>
          <w:lang w:eastAsia="pl-PL"/>
        </w:rPr>
        <w:t>Spółdzielczego w Łańcucie</w:t>
      </w:r>
      <w:r w:rsidRPr="00581E93">
        <w:rPr>
          <w:rFonts w:ascii="Arial" w:eastAsia="Times New Roman" w:hAnsi="Arial" w:cs="Arial"/>
          <w:sz w:val="20"/>
          <w:szCs w:val="20"/>
          <w:lang w:eastAsia="pl-PL"/>
        </w:rPr>
        <w:t xml:space="preserve"> w obowiązkowym systemie gwarantowania depozytów i zasadach jego funkcjonowania, w tym o zakresie podmiotowym i przedmiotowym ochrony </w:t>
      </w:r>
      <w:r w:rsidR="00B109FB" w:rsidRPr="00EC10E3">
        <w:rPr>
          <w:rFonts w:ascii="Arial" w:eastAsia="Times New Roman" w:hAnsi="Arial" w:cs="Arial"/>
          <w:sz w:val="20"/>
          <w:szCs w:val="20"/>
          <w:lang w:eastAsia="pl-PL"/>
        </w:rPr>
        <w:t>p</w:t>
      </w:r>
      <w:r w:rsidRPr="00581E93">
        <w:rPr>
          <w:rFonts w:ascii="Arial" w:eastAsia="Times New Roman" w:hAnsi="Arial" w:cs="Arial"/>
          <w:sz w:val="20"/>
          <w:szCs w:val="20"/>
          <w:lang w:eastAsia="pl-PL"/>
        </w:rPr>
        <w:t>rzysługują</w:t>
      </w:r>
      <w:r w:rsidRPr="00EC10E3">
        <w:rPr>
          <w:rFonts w:ascii="Arial" w:eastAsia="Times New Roman" w:hAnsi="Arial" w:cs="Arial"/>
          <w:sz w:val="20"/>
          <w:szCs w:val="20"/>
          <w:lang w:eastAsia="pl-PL"/>
        </w:rPr>
        <w:t>cej z</w:t>
      </w:r>
      <w:r w:rsidR="00B109FB" w:rsidRPr="00EC10E3">
        <w:rPr>
          <w:rFonts w:ascii="Arial" w:eastAsia="Times New Roman" w:hAnsi="Arial" w:cs="Arial"/>
          <w:sz w:val="20"/>
          <w:szCs w:val="20"/>
          <w:lang w:eastAsia="pl-PL"/>
        </w:rPr>
        <w:t xml:space="preserve">e </w:t>
      </w:r>
      <w:r w:rsidRPr="00EC10E3">
        <w:rPr>
          <w:rFonts w:ascii="Arial" w:eastAsia="Times New Roman" w:hAnsi="Arial" w:cs="Arial"/>
          <w:sz w:val="20"/>
          <w:szCs w:val="20"/>
          <w:lang w:eastAsia="pl-PL"/>
        </w:rPr>
        <w:t>s</w:t>
      </w:r>
      <w:r w:rsidRPr="00581E93">
        <w:rPr>
          <w:rFonts w:ascii="Arial" w:eastAsia="Times New Roman" w:hAnsi="Arial" w:cs="Arial"/>
          <w:sz w:val="20"/>
          <w:szCs w:val="20"/>
          <w:lang w:eastAsia="pl-PL"/>
        </w:rPr>
        <w:t xml:space="preserve">trony tego systemu </w:t>
      </w:r>
    </w:p>
    <w:p w:rsidR="00B109FB" w:rsidRPr="008F4EA3" w:rsidRDefault="00B109FB" w:rsidP="00B109FB">
      <w:pPr>
        <w:spacing w:after="0" w:line="240" w:lineRule="auto"/>
        <w:jc w:val="center"/>
        <w:rPr>
          <w:rFonts w:ascii="Arial" w:eastAsia="Times New Roman" w:hAnsi="Arial" w:cs="Arial"/>
          <w:lang w:eastAsia="pl-PL"/>
        </w:rPr>
      </w:pPr>
    </w:p>
    <w:p w:rsidR="00581E93" w:rsidRPr="00581E93" w:rsidRDefault="00581E93" w:rsidP="00B109FB">
      <w:pPr>
        <w:spacing w:after="0" w:line="240" w:lineRule="auto"/>
        <w:jc w:val="center"/>
        <w:rPr>
          <w:rFonts w:ascii="Arial" w:eastAsia="Times New Roman" w:hAnsi="Arial" w:cs="Arial"/>
          <w:b/>
          <w:lang w:eastAsia="pl-PL"/>
        </w:rPr>
      </w:pPr>
      <w:r w:rsidRPr="00581E93">
        <w:rPr>
          <w:rFonts w:ascii="Arial" w:eastAsia="Times New Roman" w:hAnsi="Arial" w:cs="Arial"/>
          <w:b/>
          <w:lang w:eastAsia="pl-PL"/>
        </w:rPr>
        <w:t>ARKUSZ INFORMACYJNY DLA DEPONENTÓW</w:t>
      </w:r>
    </w:p>
    <w:p w:rsidR="00B109FB" w:rsidRPr="008F4EA3" w:rsidRDefault="00B109FB" w:rsidP="00B109FB">
      <w:pPr>
        <w:framePr w:w="5896" w:h="496" w:hRule="exact" w:wrap="around" w:vAnchor="page" w:hAnchor="page" w:x="3256" w:y="3151"/>
        <w:spacing w:before="120" w:line="180" w:lineRule="exact"/>
        <w:jc w:val="center"/>
        <w:rPr>
          <w:rFonts w:ascii="Arial" w:hAnsi="Arial" w:cs="Arial"/>
          <w:b/>
        </w:rPr>
      </w:pPr>
      <w:r w:rsidRPr="008F4EA3">
        <w:rPr>
          <w:rStyle w:val="Podpistabeli0"/>
          <w:rFonts w:ascii="Arial" w:eastAsiaTheme="minorHAnsi" w:hAnsi="Arial" w:cs="Arial"/>
          <w:b/>
          <w:sz w:val="22"/>
          <w:szCs w:val="22"/>
        </w:rPr>
        <w:t>ARKUSZ INFORMACYJNY DLA  DEPONENTÓW</w:t>
      </w:r>
    </w:p>
    <w:p w:rsidR="00BB0CB4" w:rsidRPr="008F4EA3" w:rsidRDefault="00BB0CB4">
      <w:pPr>
        <w:rPr>
          <w:rFonts w:ascii="Arial" w:hAnsi="Arial" w:cs="Arial"/>
        </w:rPr>
      </w:pPr>
    </w:p>
    <w:tbl>
      <w:tblPr>
        <w:tblOverlap w:val="never"/>
        <w:tblW w:w="0" w:type="auto"/>
        <w:tblInd w:w="10" w:type="dxa"/>
        <w:tblLayout w:type="fixed"/>
        <w:tblCellMar>
          <w:left w:w="10" w:type="dxa"/>
          <w:right w:w="10" w:type="dxa"/>
        </w:tblCellMar>
        <w:tblLook w:val="04A0"/>
      </w:tblPr>
      <w:tblGrid>
        <w:gridCol w:w="4253"/>
        <w:gridCol w:w="4925"/>
      </w:tblGrid>
      <w:tr w:rsidR="005F57B3" w:rsidRPr="00BB0CB4" w:rsidTr="005F57B3">
        <w:trPr>
          <w:trHeight w:hRule="exact" w:val="998"/>
        </w:trPr>
        <w:tc>
          <w:tcPr>
            <w:tcW w:w="4253" w:type="dxa"/>
            <w:tcBorders>
              <w:top w:val="single" w:sz="4" w:space="0" w:color="auto"/>
              <w:left w:val="single" w:sz="4" w:space="0" w:color="auto"/>
            </w:tcBorders>
            <w:shd w:val="clear" w:color="auto" w:fill="FFFFFF"/>
            <w:vAlign w:val="center"/>
          </w:tcPr>
          <w:p w:rsidR="00BB0CB4" w:rsidRPr="00BB0CB4" w:rsidRDefault="00BB0CB4" w:rsidP="00946E6D">
            <w:pPr>
              <w:framePr w:w="9178" w:h="9917" w:wrap="around" w:vAnchor="page" w:hAnchor="page" w:x="1409" w:y="2947"/>
              <w:widowControl w:val="0"/>
              <w:spacing w:after="0" w:line="240" w:lineRule="auto"/>
              <w:ind w:left="132"/>
              <w:rPr>
                <w:rFonts w:ascii="Arial" w:eastAsia="Times New Roman" w:hAnsi="Arial" w:cs="Arial"/>
                <w:color w:val="000000"/>
                <w:spacing w:val="4"/>
                <w:sz w:val="20"/>
                <w:szCs w:val="20"/>
                <w:lang w:eastAsia="pl-PL" w:bidi="pl-PL"/>
              </w:rPr>
            </w:pPr>
            <w:r w:rsidRPr="0041508E">
              <w:rPr>
                <w:rFonts w:ascii="Arial" w:eastAsia="Times New Roman" w:hAnsi="Arial" w:cs="Arial"/>
                <w:color w:val="000000"/>
                <w:spacing w:val="4"/>
                <w:sz w:val="20"/>
                <w:szCs w:val="20"/>
                <w:lang w:eastAsia="pl-PL" w:bidi="pl-PL"/>
              </w:rPr>
              <w:t>Depozyty w</w:t>
            </w:r>
            <w:r w:rsidR="008F4EA3" w:rsidRPr="0041508E">
              <w:rPr>
                <w:rFonts w:ascii="Arial" w:eastAsia="Times New Roman" w:hAnsi="Arial" w:cs="Arial"/>
                <w:color w:val="000000"/>
                <w:spacing w:val="4"/>
                <w:sz w:val="20"/>
                <w:szCs w:val="20"/>
                <w:lang w:eastAsia="pl-PL" w:bidi="pl-PL"/>
              </w:rPr>
              <w:t xml:space="preserve"> Banku </w:t>
            </w:r>
            <w:r w:rsidR="005F57B3" w:rsidRPr="0041508E">
              <w:rPr>
                <w:rFonts w:ascii="Arial" w:eastAsia="Times New Roman" w:hAnsi="Arial" w:cs="Arial"/>
                <w:color w:val="000000"/>
                <w:spacing w:val="4"/>
                <w:sz w:val="20"/>
                <w:szCs w:val="20"/>
                <w:lang w:eastAsia="pl-PL" w:bidi="pl-PL"/>
              </w:rPr>
              <w:t xml:space="preserve"> </w:t>
            </w:r>
            <w:r w:rsidR="00002AD4">
              <w:rPr>
                <w:rFonts w:ascii="Arial" w:eastAsia="Times New Roman" w:hAnsi="Arial" w:cs="Arial"/>
                <w:color w:val="000000"/>
                <w:spacing w:val="4"/>
                <w:sz w:val="20"/>
                <w:szCs w:val="20"/>
                <w:lang w:eastAsia="pl-PL" w:bidi="pl-PL"/>
              </w:rPr>
              <w:t>Spółdzielcz</w:t>
            </w:r>
            <w:r w:rsidR="00946E6D">
              <w:rPr>
                <w:rFonts w:ascii="Arial" w:eastAsia="Times New Roman" w:hAnsi="Arial" w:cs="Arial"/>
                <w:color w:val="000000"/>
                <w:spacing w:val="4"/>
                <w:sz w:val="20"/>
                <w:szCs w:val="20"/>
                <w:lang w:eastAsia="pl-PL" w:bidi="pl-PL"/>
              </w:rPr>
              <w:t>ym</w:t>
            </w:r>
            <w:r w:rsidR="00002AD4">
              <w:rPr>
                <w:rFonts w:ascii="Arial" w:eastAsia="Times New Roman" w:hAnsi="Arial" w:cs="Arial"/>
                <w:color w:val="000000"/>
                <w:spacing w:val="4"/>
                <w:sz w:val="20"/>
                <w:szCs w:val="20"/>
                <w:lang w:eastAsia="pl-PL" w:bidi="pl-PL"/>
              </w:rPr>
              <w:t xml:space="preserve"> w Łańcucie</w:t>
            </w:r>
            <w:r w:rsidR="008F4EA3" w:rsidRPr="0041508E">
              <w:rPr>
                <w:rFonts w:ascii="Arial" w:eastAsia="Times New Roman" w:hAnsi="Arial" w:cs="Arial"/>
                <w:color w:val="000000"/>
                <w:spacing w:val="4"/>
                <w:sz w:val="20"/>
                <w:szCs w:val="20"/>
                <w:lang w:eastAsia="pl-PL" w:bidi="pl-PL"/>
              </w:rPr>
              <w:t xml:space="preserve"> </w:t>
            </w:r>
            <w:r w:rsidRPr="0041508E">
              <w:rPr>
                <w:rFonts w:ascii="Arial" w:eastAsia="Times New Roman" w:hAnsi="Arial" w:cs="Arial"/>
                <w:color w:val="000000"/>
                <w:spacing w:val="4"/>
                <w:sz w:val="20"/>
                <w:szCs w:val="20"/>
                <w:lang w:eastAsia="pl-PL" w:bidi="pl-PL"/>
              </w:rPr>
              <w:t>są gwarantowane przez:</w:t>
            </w:r>
          </w:p>
        </w:tc>
        <w:tc>
          <w:tcPr>
            <w:tcW w:w="4925" w:type="dxa"/>
            <w:tcBorders>
              <w:top w:val="single" w:sz="4" w:space="0" w:color="auto"/>
              <w:left w:val="single" w:sz="4" w:space="0" w:color="auto"/>
              <w:right w:val="single" w:sz="4" w:space="0" w:color="auto"/>
            </w:tcBorders>
            <w:shd w:val="clear" w:color="auto" w:fill="FFFFFF"/>
            <w:vAlign w:val="center"/>
          </w:tcPr>
          <w:p w:rsidR="00BB0CB4" w:rsidRPr="00EC10E3" w:rsidRDefault="00BB0CB4" w:rsidP="0033559B">
            <w:pPr>
              <w:framePr w:w="9178" w:h="9917" w:wrap="around" w:vAnchor="page" w:hAnchor="page" w:x="1409" w:y="2947"/>
              <w:widowControl w:val="0"/>
              <w:spacing w:after="0" w:line="240" w:lineRule="auto"/>
              <w:ind w:left="274"/>
              <w:rPr>
                <w:rStyle w:val="Teksttreci0"/>
                <w:rFonts w:ascii="Arial" w:eastAsiaTheme="minorHAnsi" w:hAnsi="Arial" w:cs="Arial"/>
              </w:rPr>
            </w:pPr>
            <w:r w:rsidRPr="00EC10E3">
              <w:rPr>
                <w:rStyle w:val="Teksttreci0"/>
                <w:rFonts w:ascii="Arial" w:eastAsiaTheme="minorHAnsi" w:hAnsi="Arial" w:cs="Arial"/>
              </w:rPr>
              <w:t>Bankowy Fundusz Gwarancyjny</w:t>
            </w:r>
            <w:r w:rsidRPr="006A171C">
              <w:rPr>
                <w:rStyle w:val="Teksttreci0"/>
                <w:rFonts w:ascii="Arial" w:eastAsiaTheme="minorHAnsi" w:hAnsi="Arial" w:cs="Arial"/>
                <w:vertAlign w:val="superscript"/>
              </w:rPr>
              <w:t>1</w:t>
            </w:r>
            <w:r w:rsidR="00881683" w:rsidRPr="006A171C">
              <w:rPr>
                <w:rStyle w:val="Teksttreci0"/>
                <w:rFonts w:ascii="Arial" w:eastAsiaTheme="minorHAnsi" w:hAnsi="Arial" w:cs="Arial"/>
                <w:vertAlign w:val="superscript"/>
              </w:rPr>
              <w:t>)</w:t>
            </w:r>
          </w:p>
        </w:tc>
      </w:tr>
      <w:tr w:rsidR="005F57B3" w:rsidRPr="00BB0CB4" w:rsidTr="005F57B3">
        <w:trPr>
          <w:trHeight w:hRule="exact" w:val="2543"/>
        </w:trPr>
        <w:tc>
          <w:tcPr>
            <w:tcW w:w="4253" w:type="dxa"/>
            <w:tcBorders>
              <w:top w:val="single" w:sz="4" w:space="0" w:color="auto"/>
              <w:left w:val="single" w:sz="4" w:space="0" w:color="auto"/>
            </w:tcBorders>
            <w:shd w:val="clear" w:color="auto" w:fill="FFFFFF"/>
            <w:vAlign w:val="center"/>
          </w:tcPr>
          <w:p w:rsidR="00BB0CB4" w:rsidRPr="00BB0CB4" w:rsidRDefault="00BB0CB4" w:rsidP="00003006">
            <w:pPr>
              <w:framePr w:w="9178" w:h="9917" w:wrap="around" w:vAnchor="page" w:hAnchor="page" w:x="1409" w:y="2947"/>
              <w:widowControl w:val="0"/>
              <w:spacing w:after="0" w:line="240" w:lineRule="auto"/>
              <w:ind w:firstLine="132"/>
              <w:rPr>
                <w:rFonts w:ascii="Arial" w:eastAsia="Times New Roman" w:hAnsi="Arial" w:cs="Arial"/>
                <w:color w:val="000000"/>
                <w:spacing w:val="4"/>
                <w:sz w:val="20"/>
                <w:szCs w:val="20"/>
                <w:lang w:eastAsia="pl-PL" w:bidi="pl-PL"/>
              </w:rPr>
            </w:pPr>
            <w:r w:rsidRPr="0041508E">
              <w:rPr>
                <w:rFonts w:ascii="Arial" w:eastAsia="Times New Roman" w:hAnsi="Arial" w:cs="Arial"/>
                <w:color w:val="000000"/>
                <w:spacing w:val="4"/>
                <w:sz w:val="20"/>
                <w:szCs w:val="20"/>
                <w:lang w:eastAsia="pl-PL" w:bidi="pl-PL"/>
              </w:rPr>
              <w:t>Zakres ochrony:</w:t>
            </w:r>
          </w:p>
        </w:tc>
        <w:tc>
          <w:tcPr>
            <w:tcW w:w="4925" w:type="dxa"/>
            <w:tcBorders>
              <w:top w:val="single" w:sz="4" w:space="0" w:color="auto"/>
              <w:left w:val="single" w:sz="4" w:space="0" w:color="auto"/>
              <w:right w:val="single" w:sz="4" w:space="0" w:color="auto"/>
            </w:tcBorders>
            <w:shd w:val="clear" w:color="auto" w:fill="FFFFFF"/>
            <w:vAlign w:val="center"/>
          </w:tcPr>
          <w:p w:rsidR="00881683" w:rsidRPr="00EC10E3" w:rsidRDefault="00BB0CB4" w:rsidP="005F57B3">
            <w:pPr>
              <w:framePr w:w="9178" w:h="9917" w:wrap="around" w:vAnchor="page" w:hAnchor="page" w:x="1409" w:y="2947"/>
              <w:widowControl w:val="0"/>
              <w:spacing w:after="0" w:line="240" w:lineRule="auto"/>
              <w:ind w:left="274"/>
              <w:jc w:val="both"/>
              <w:rPr>
                <w:rStyle w:val="Teksttreci0"/>
                <w:rFonts w:ascii="Arial" w:eastAsiaTheme="minorHAnsi" w:hAnsi="Arial" w:cs="Arial"/>
              </w:rPr>
            </w:pPr>
            <w:r w:rsidRPr="00EC10E3">
              <w:rPr>
                <w:rStyle w:val="Teksttreci0"/>
                <w:rFonts w:ascii="Arial" w:eastAsiaTheme="minorHAnsi" w:hAnsi="Arial" w:cs="Arial"/>
              </w:rPr>
              <w:t>równowartość w złotych 100 000 euro w</w:t>
            </w:r>
            <w:r w:rsidR="005F5828">
              <w:rPr>
                <w:rStyle w:val="Teksttreci0"/>
                <w:rFonts w:ascii="Arial" w:eastAsiaTheme="minorHAnsi" w:hAnsi="Arial" w:cs="Arial"/>
              </w:rPr>
              <w:t> </w:t>
            </w:r>
            <w:r w:rsidRPr="00EC10E3">
              <w:rPr>
                <w:rStyle w:val="Teksttreci0"/>
                <w:rFonts w:ascii="Arial" w:eastAsiaTheme="minorHAnsi" w:hAnsi="Arial" w:cs="Arial"/>
              </w:rPr>
              <w:t>odniesieniu do każdego deponenta w jednym podmiocie objętym systemem gwarantowania.</w:t>
            </w:r>
            <w:r w:rsidRPr="006A171C">
              <w:rPr>
                <w:rStyle w:val="Teksttreci0"/>
                <w:rFonts w:ascii="Arial" w:eastAsiaTheme="minorHAnsi" w:hAnsi="Arial" w:cs="Arial"/>
                <w:vertAlign w:val="superscript"/>
              </w:rPr>
              <w:t>2</w:t>
            </w:r>
            <w:r w:rsidR="00881683" w:rsidRPr="006A171C">
              <w:rPr>
                <w:rStyle w:val="Teksttreci0"/>
                <w:rFonts w:ascii="Arial" w:eastAsiaTheme="minorHAnsi" w:hAnsi="Arial" w:cs="Arial"/>
                <w:vertAlign w:val="superscript"/>
              </w:rPr>
              <w:t>)</w:t>
            </w:r>
            <w:r w:rsidR="00881683" w:rsidRPr="00EC10E3">
              <w:rPr>
                <w:rStyle w:val="Teksttreci0"/>
                <w:rFonts w:ascii="Arial" w:eastAsiaTheme="minorHAnsi" w:hAnsi="Arial" w:cs="Arial"/>
              </w:rPr>
              <w:t xml:space="preserve"> </w:t>
            </w:r>
          </w:p>
          <w:p w:rsidR="00BB0CB4" w:rsidRPr="00EC10E3" w:rsidRDefault="00102245" w:rsidP="00102245">
            <w:pPr>
              <w:framePr w:w="9178" w:h="9917" w:wrap="around" w:vAnchor="page" w:hAnchor="page" w:x="1409" w:y="2947"/>
              <w:widowControl w:val="0"/>
              <w:spacing w:before="120" w:after="0" w:line="240" w:lineRule="auto"/>
              <w:ind w:left="272"/>
              <w:jc w:val="both"/>
              <w:rPr>
                <w:rStyle w:val="Teksttreci0"/>
                <w:rFonts w:ascii="Arial" w:eastAsiaTheme="minorHAnsi" w:hAnsi="Arial" w:cs="Arial"/>
              </w:rPr>
            </w:pPr>
            <w:r w:rsidRPr="00102245">
              <w:rPr>
                <w:rStyle w:val="Teksttreci0"/>
                <w:rFonts w:ascii="Arial" w:eastAsiaTheme="minorHAnsi" w:hAnsi="Arial" w:cs="Arial"/>
                <w:strike/>
              </w:rPr>
              <w:t xml:space="preserve">Bank </w:t>
            </w:r>
            <w:r w:rsidR="00311879">
              <w:rPr>
                <w:rStyle w:val="Teksttreci0"/>
                <w:rFonts w:ascii="Arial" w:eastAsiaTheme="minorHAnsi" w:hAnsi="Arial" w:cs="Arial"/>
                <w:strike/>
              </w:rPr>
              <w:t>Spółdzielczy w Łańcucie</w:t>
            </w:r>
            <w:r w:rsidRPr="005F57B3">
              <w:rPr>
                <w:rStyle w:val="Teksttreci0"/>
                <w:rFonts w:ascii="Arial" w:eastAsiaTheme="minorHAnsi" w:hAnsi="Arial" w:cs="Arial"/>
                <w:strike/>
              </w:rPr>
              <w:t xml:space="preserve"> </w:t>
            </w:r>
            <w:r w:rsidR="005F57B3" w:rsidRPr="005F57B3">
              <w:rPr>
                <w:rStyle w:val="Teksttreci0"/>
                <w:rFonts w:ascii="Arial" w:eastAsiaTheme="minorHAnsi" w:hAnsi="Arial" w:cs="Arial"/>
                <w:strike/>
              </w:rPr>
              <w:t xml:space="preserve">[w stosownych przypadkach] </w:t>
            </w:r>
            <w:r w:rsidR="00BB0CB4" w:rsidRPr="005F57B3">
              <w:rPr>
                <w:rStyle w:val="Teksttreci0"/>
                <w:rFonts w:ascii="Arial" w:eastAsiaTheme="minorHAnsi" w:hAnsi="Arial" w:cs="Arial"/>
                <w:strike/>
              </w:rPr>
              <w:t>korzysta z następujących znaków towarowych: [wstawić wszystkie znaki towarowe stosowane na mocy tego samego zezwolenia</w:t>
            </w:r>
            <w:r w:rsidR="00BB0CB4" w:rsidRPr="00EC10E3">
              <w:rPr>
                <w:rStyle w:val="Teksttreci0"/>
                <w:rFonts w:ascii="Arial" w:eastAsiaTheme="minorHAnsi" w:hAnsi="Arial" w:cs="Arial"/>
              </w:rPr>
              <w:t>].</w:t>
            </w:r>
          </w:p>
        </w:tc>
      </w:tr>
      <w:tr w:rsidR="005F57B3" w:rsidRPr="00BB0CB4" w:rsidTr="005F57B3">
        <w:trPr>
          <w:trHeight w:hRule="exact" w:val="1728"/>
        </w:trPr>
        <w:tc>
          <w:tcPr>
            <w:tcW w:w="4253" w:type="dxa"/>
            <w:tcBorders>
              <w:top w:val="single" w:sz="4" w:space="0" w:color="auto"/>
              <w:left w:val="single" w:sz="4" w:space="0" w:color="auto"/>
            </w:tcBorders>
            <w:shd w:val="clear" w:color="auto" w:fill="FFFFFF"/>
            <w:vAlign w:val="center"/>
          </w:tcPr>
          <w:p w:rsidR="00BB0CB4" w:rsidRPr="00BB0CB4" w:rsidRDefault="00BB0CB4" w:rsidP="005F57B3">
            <w:pPr>
              <w:framePr w:w="9178" w:h="9917" w:wrap="around" w:vAnchor="page" w:hAnchor="page" w:x="1409" w:y="2947"/>
              <w:widowControl w:val="0"/>
              <w:spacing w:after="0" w:line="240" w:lineRule="auto"/>
              <w:ind w:left="100"/>
              <w:jc w:val="both"/>
              <w:rPr>
                <w:rFonts w:ascii="Arial" w:eastAsia="Times New Roman" w:hAnsi="Arial" w:cs="Arial"/>
                <w:color w:val="000000"/>
                <w:spacing w:val="4"/>
                <w:sz w:val="20"/>
                <w:szCs w:val="20"/>
                <w:lang w:eastAsia="pl-PL" w:bidi="pl-PL"/>
              </w:rPr>
            </w:pPr>
            <w:r w:rsidRPr="0041508E">
              <w:rPr>
                <w:rFonts w:ascii="Arial" w:eastAsia="Times New Roman" w:hAnsi="Arial" w:cs="Arial"/>
                <w:color w:val="000000"/>
                <w:spacing w:val="4"/>
                <w:sz w:val="20"/>
                <w:szCs w:val="20"/>
                <w:lang w:eastAsia="pl-PL" w:bidi="pl-PL"/>
              </w:rPr>
              <w:t>Jeżeli deponent posiada więcej depozytów w tym samym podmiocie objętym systemem gwarantowania:</w:t>
            </w:r>
          </w:p>
        </w:tc>
        <w:tc>
          <w:tcPr>
            <w:tcW w:w="4925" w:type="dxa"/>
            <w:tcBorders>
              <w:top w:val="single" w:sz="4" w:space="0" w:color="auto"/>
              <w:left w:val="single" w:sz="4" w:space="0" w:color="auto"/>
              <w:right w:val="single" w:sz="4" w:space="0" w:color="auto"/>
            </w:tcBorders>
            <w:shd w:val="clear" w:color="auto" w:fill="FFFFFF"/>
            <w:vAlign w:val="center"/>
          </w:tcPr>
          <w:p w:rsidR="00BB0CB4" w:rsidRPr="00EC10E3" w:rsidRDefault="00BB0CB4" w:rsidP="005F57B3">
            <w:pPr>
              <w:framePr w:w="9178" w:h="9917" w:wrap="around" w:vAnchor="page" w:hAnchor="page" w:x="1409" w:y="2947"/>
              <w:widowControl w:val="0"/>
              <w:spacing w:after="0" w:line="240" w:lineRule="auto"/>
              <w:ind w:left="274"/>
              <w:jc w:val="both"/>
              <w:rPr>
                <w:rStyle w:val="Teksttreci0"/>
                <w:rFonts w:ascii="Arial" w:eastAsiaTheme="minorHAnsi" w:hAnsi="Arial" w:cs="Arial"/>
              </w:rPr>
            </w:pPr>
            <w:r w:rsidRPr="00EC10E3">
              <w:rPr>
                <w:rStyle w:val="Teksttreci0"/>
                <w:rFonts w:ascii="Arial" w:eastAsiaTheme="minorHAnsi" w:hAnsi="Arial" w:cs="Arial"/>
              </w:rPr>
              <w:t>wszystkie depozyty w tym samym podmiocie objętym systemem gwarantowania są sumowane, a suma podlega limitowi równowartości w złotych 100 000 euro</w:t>
            </w:r>
            <w:r w:rsidRPr="006A171C">
              <w:rPr>
                <w:rStyle w:val="Teksttreci0"/>
                <w:rFonts w:ascii="Arial" w:eastAsiaTheme="minorHAnsi" w:hAnsi="Arial" w:cs="Arial"/>
                <w:vertAlign w:val="superscript"/>
              </w:rPr>
              <w:t>3</w:t>
            </w:r>
            <w:r w:rsidR="00881683" w:rsidRPr="006A171C">
              <w:rPr>
                <w:rStyle w:val="Teksttreci0"/>
                <w:rFonts w:ascii="Arial" w:eastAsiaTheme="minorHAnsi" w:hAnsi="Arial" w:cs="Arial"/>
                <w:vertAlign w:val="superscript"/>
              </w:rPr>
              <w:t>)</w:t>
            </w:r>
          </w:p>
        </w:tc>
      </w:tr>
      <w:tr w:rsidR="005F57B3" w:rsidRPr="00BB0CB4" w:rsidTr="005F57B3">
        <w:trPr>
          <w:trHeight w:hRule="exact" w:val="1087"/>
        </w:trPr>
        <w:tc>
          <w:tcPr>
            <w:tcW w:w="4253" w:type="dxa"/>
            <w:tcBorders>
              <w:top w:val="single" w:sz="4" w:space="0" w:color="auto"/>
              <w:left w:val="single" w:sz="4" w:space="0" w:color="auto"/>
            </w:tcBorders>
            <w:shd w:val="clear" w:color="auto" w:fill="FFFFFF"/>
            <w:vAlign w:val="center"/>
          </w:tcPr>
          <w:p w:rsidR="00BB0CB4" w:rsidRPr="00BB0CB4" w:rsidRDefault="00BB0CB4" w:rsidP="005F57B3">
            <w:pPr>
              <w:framePr w:w="9178" w:h="9917" w:wrap="around" w:vAnchor="page" w:hAnchor="page" w:x="1409" w:y="2947"/>
              <w:widowControl w:val="0"/>
              <w:spacing w:after="0" w:line="240" w:lineRule="auto"/>
              <w:ind w:left="100"/>
              <w:jc w:val="both"/>
              <w:rPr>
                <w:rFonts w:ascii="Arial" w:eastAsia="Times New Roman" w:hAnsi="Arial" w:cs="Arial"/>
                <w:color w:val="000000"/>
                <w:spacing w:val="4"/>
                <w:sz w:val="20"/>
                <w:szCs w:val="20"/>
                <w:lang w:eastAsia="pl-PL" w:bidi="pl-PL"/>
              </w:rPr>
            </w:pPr>
            <w:r w:rsidRPr="005F57B3">
              <w:rPr>
                <w:rFonts w:ascii="Arial" w:eastAsia="Times New Roman" w:hAnsi="Arial" w:cs="Arial"/>
                <w:color w:val="000000"/>
                <w:spacing w:val="4"/>
                <w:sz w:val="20"/>
                <w:szCs w:val="20"/>
                <w:lang w:eastAsia="pl-PL" w:bidi="pl-PL"/>
              </w:rPr>
              <w:t>Jeżeli deponent posiada wspólny rachunek z inną osobą / innymi osobami:</w:t>
            </w:r>
          </w:p>
        </w:tc>
        <w:tc>
          <w:tcPr>
            <w:tcW w:w="4925" w:type="dxa"/>
            <w:tcBorders>
              <w:top w:val="single" w:sz="4" w:space="0" w:color="auto"/>
              <w:left w:val="single" w:sz="4" w:space="0" w:color="auto"/>
              <w:right w:val="single" w:sz="4" w:space="0" w:color="auto"/>
            </w:tcBorders>
            <w:shd w:val="clear" w:color="auto" w:fill="FFFFFF"/>
            <w:vAlign w:val="center"/>
          </w:tcPr>
          <w:p w:rsidR="00BB0CB4" w:rsidRPr="00EC10E3" w:rsidRDefault="00BB0CB4" w:rsidP="005F57B3">
            <w:pPr>
              <w:framePr w:w="9178" w:h="9917" w:wrap="around" w:vAnchor="page" w:hAnchor="page" w:x="1409" w:y="2947"/>
              <w:widowControl w:val="0"/>
              <w:spacing w:after="0" w:line="240" w:lineRule="auto"/>
              <w:ind w:left="274"/>
              <w:jc w:val="both"/>
              <w:rPr>
                <w:rStyle w:val="Teksttreci0"/>
                <w:rFonts w:ascii="Arial" w:eastAsiaTheme="minorHAnsi" w:hAnsi="Arial" w:cs="Arial"/>
              </w:rPr>
            </w:pPr>
            <w:r w:rsidRPr="00EC10E3">
              <w:rPr>
                <w:rStyle w:val="Teksttreci0"/>
                <w:rFonts w:ascii="Arial" w:eastAsiaTheme="minorHAnsi" w:hAnsi="Arial" w:cs="Arial"/>
              </w:rPr>
              <w:t>limit równowartości w złotych 100 000 euro ma zastosowanie do każdego z deponentów oddzielnie</w:t>
            </w:r>
            <w:r w:rsidRPr="006A171C">
              <w:rPr>
                <w:rStyle w:val="Teksttreci0"/>
                <w:rFonts w:ascii="Arial" w:eastAsiaTheme="minorHAnsi" w:hAnsi="Arial" w:cs="Arial"/>
                <w:vertAlign w:val="superscript"/>
              </w:rPr>
              <w:t>4</w:t>
            </w:r>
            <w:r w:rsidR="00CF14BB" w:rsidRPr="006A171C">
              <w:rPr>
                <w:rStyle w:val="Teksttreci0"/>
                <w:rFonts w:ascii="Arial" w:eastAsiaTheme="minorHAnsi" w:hAnsi="Arial" w:cs="Arial"/>
                <w:vertAlign w:val="superscript"/>
              </w:rPr>
              <w:t>)</w:t>
            </w:r>
          </w:p>
        </w:tc>
      </w:tr>
      <w:tr w:rsidR="005F57B3" w:rsidRPr="00BB0CB4" w:rsidTr="005F57B3">
        <w:trPr>
          <w:trHeight w:hRule="exact" w:val="1327"/>
        </w:trPr>
        <w:tc>
          <w:tcPr>
            <w:tcW w:w="4253" w:type="dxa"/>
            <w:tcBorders>
              <w:top w:val="single" w:sz="4" w:space="0" w:color="auto"/>
              <w:left w:val="single" w:sz="4" w:space="0" w:color="auto"/>
              <w:bottom w:val="single" w:sz="4" w:space="0" w:color="auto"/>
            </w:tcBorders>
            <w:shd w:val="clear" w:color="auto" w:fill="FFFFFF"/>
            <w:vAlign w:val="center"/>
          </w:tcPr>
          <w:p w:rsidR="00BB0CB4" w:rsidRPr="00BB0CB4" w:rsidRDefault="00BB0CB4" w:rsidP="001063ED">
            <w:pPr>
              <w:framePr w:w="9178" w:h="9917" w:wrap="around" w:vAnchor="page" w:hAnchor="page" w:x="1409" w:y="2947"/>
              <w:widowControl w:val="0"/>
              <w:spacing w:after="0" w:line="240" w:lineRule="auto"/>
              <w:ind w:left="100"/>
              <w:rPr>
                <w:rFonts w:ascii="Arial" w:eastAsia="Times New Roman" w:hAnsi="Arial" w:cs="Arial"/>
                <w:color w:val="000000"/>
                <w:spacing w:val="4"/>
                <w:sz w:val="20"/>
                <w:szCs w:val="20"/>
                <w:lang w:eastAsia="pl-PL" w:bidi="pl-PL"/>
              </w:rPr>
            </w:pPr>
            <w:r w:rsidRPr="005F57B3">
              <w:rPr>
                <w:rFonts w:ascii="Arial" w:eastAsia="Times New Roman" w:hAnsi="Arial" w:cs="Arial"/>
                <w:color w:val="000000"/>
                <w:spacing w:val="4"/>
                <w:sz w:val="20"/>
                <w:szCs w:val="20"/>
                <w:lang w:eastAsia="pl-PL" w:bidi="pl-PL"/>
              </w:rPr>
              <w:t>Okres wypłaty w przypadku niewypłacalności podmiotu objętego systemem gwarantowania:</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BB0CB4" w:rsidRPr="00EC10E3" w:rsidRDefault="00BB0CB4" w:rsidP="001063ED">
            <w:pPr>
              <w:framePr w:w="9178" w:h="9917" w:wrap="around" w:vAnchor="page" w:hAnchor="page" w:x="1409" w:y="2947"/>
              <w:widowControl w:val="0"/>
              <w:spacing w:before="120" w:after="0" w:line="240" w:lineRule="auto"/>
              <w:ind w:firstLine="274"/>
              <w:rPr>
                <w:rStyle w:val="Teksttreci0"/>
                <w:rFonts w:ascii="Arial" w:eastAsiaTheme="minorHAnsi" w:hAnsi="Arial" w:cs="Arial"/>
              </w:rPr>
            </w:pPr>
            <w:r w:rsidRPr="00EC10E3">
              <w:rPr>
                <w:rStyle w:val="Teksttreci0"/>
                <w:rFonts w:ascii="Arial" w:eastAsiaTheme="minorHAnsi" w:hAnsi="Arial" w:cs="Arial"/>
              </w:rPr>
              <w:t>7 dni roboczych</w:t>
            </w:r>
            <w:r w:rsidRPr="006A171C">
              <w:rPr>
                <w:rStyle w:val="Teksttreci0"/>
                <w:rFonts w:ascii="Arial" w:eastAsiaTheme="minorHAnsi" w:hAnsi="Arial" w:cs="Arial"/>
                <w:vertAlign w:val="superscript"/>
              </w:rPr>
              <w:t>5</w:t>
            </w:r>
            <w:r w:rsidR="00CF14BB" w:rsidRPr="006A171C">
              <w:rPr>
                <w:rStyle w:val="Teksttreci0"/>
                <w:rFonts w:ascii="Arial" w:eastAsiaTheme="minorHAnsi" w:hAnsi="Arial" w:cs="Arial"/>
                <w:vertAlign w:val="superscript"/>
              </w:rPr>
              <w:t>)</w:t>
            </w:r>
          </w:p>
        </w:tc>
      </w:tr>
      <w:tr w:rsidR="00CF14BB" w:rsidRPr="00BB0CB4" w:rsidTr="005F57B3">
        <w:trPr>
          <w:trHeight w:hRule="exact" w:val="444"/>
        </w:trPr>
        <w:tc>
          <w:tcPr>
            <w:tcW w:w="4253" w:type="dxa"/>
            <w:tcBorders>
              <w:top w:val="single" w:sz="4" w:space="0" w:color="auto"/>
              <w:left w:val="single" w:sz="4" w:space="0" w:color="auto"/>
              <w:bottom w:val="single" w:sz="4" w:space="0" w:color="auto"/>
            </w:tcBorders>
            <w:shd w:val="clear" w:color="auto" w:fill="FFFFFF"/>
            <w:vAlign w:val="center"/>
          </w:tcPr>
          <w:p w:rsidR="00CF14BB" w:rsidRPr="005F57B3" w:rsidRDefault="00CF14BB" w:rsidP="001063ED">
            <w:pPr>
              <w:framePr w:w="9178" w:h="9917" w:wrap="around" w:vAnchor="page" w:hAnchor="page" w:x="1409" w:y="2947"/>
              <w:spacing w:after="0" w:line="240" w:lineRule="auto"/>
              <w:ind w:left="79"/>
              <w:rPr>
                <w:rFonts w:ascii="Arial" w:hAnsi="Arial" w:cs="Arial"/>
                <w:sz w:val="20"/>
                <w:szCs w:val="20"/>
              </w:rPr>
            </w:pPr>
            <w:r w:rsidRPr="005F57B3">
              <w:rPr>
                <w:rStyle w:val="Teksttreci0"/>
                <w:rFonts w:ascii="Arial" w:eastAsiaTheme="minorHAnsi" w:hAnsi="Arial" w:cs="Arial"/>
              </w:rPr>
              <w:t>Waluta wypłaty:</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CF14BB" w:rsidRPr="00EC10E3" w:rsidRDefault="00CF14BB" w:rsidP="001063ED">
            <w:pPr>
              <w:framePr w:w="9178" w:h="9917" w:wrap="around" w:vAnchor="page" w:hAnchor="page" w:x="1409" w:y="2947"/>
              <w:spacing w:after="0" w:line="240" w:lineRule="auto"/>
              <w:ind w:left="274"/>
              <w:rPr>
                <w:rStyle w:val="Teksttreci0"/>
                <w:rFonts w:ascii="Arial" w:eastAsiaTheme="minorHAnsi" w:hAnsi="Arial" w:cs="Arial"/>
              </w:rPr>
            </w:pPr>
            <w:r w:rsidRPr="0041508E">
              <w:rPr>
                <w:rStyle w:val="Teksttreci0"/>
                <w:rFonts w:ascii="Arial" w:eastAsiaTheme="minorHAnsi" w:hAnsi="Arial" w:cs="Arial"/>
              </w:rPr>
              <w:t>Złoty</w:t>
            </w:r>
          </w:p>
        </w:tc>
      </w:tr>
      <w:tr w:rsidR="00CF14BB" w:rsidRPr="005F7D86" w:rsidTr="005F57B3">
        <w:trPr>
          <w:trHeight w:hRule="exact" w:val="1624"/>
        </w:trPr>
        <w:tc>
          <w:tcPr>
            <w:tcW w:w="4253" w:type="dxa"/>
            <w:tcBorders>
              <w:top w:val="single" w:sz="4" w:space="0" w:color="auto"/>
              <w:left w:val="single" w:sz="4" w:space="0" w:color="auto"/>
              <w:bottom w:val="single" w:sz="4" w:space="0" w:color="auto"/>
            </w:tcBorders>
            <w:shd w:val="clear" w:color="auto" w:fill="FFFFFF"/>
            <w:vAlign w:val="center"/>
          </w:tcPr>
          <w:p w:rsidR="00CF14BB" w:rsidRPr="005F57B3" w:rsidRDefault="00CF14BB" w:rsidP="001063ED">
            <w:pPr>
              <w:framePr w:w="9178" w:h="9917" w:wrap="around" w:vAnchor="page" w:hAnchor="page" w:x="1409" w:y="2947"/>
              <w:spacing w:line="240" w:lineRule="auto"/>
              <w:ind w:left="80"/>
              <w:rPr>
                <w:rFonts w:ascii="Arial" w:hAnsi="Arial" w:cs="Arial"/>
                <w:sz w:val="20"/>
                <w:szCs w:val="20"/>
              </w:rPr>
            </w:pPr>
            <w:r w:rsidRPr="005F57B3">
              <w:rPr>
                <w:rStyle w:val="Teksttreci0"/>
                <w:rFonts w:ascii="Arial" w:eastAsiaTheme="minorHAnsi" w:hAnsi="Arial" w:cs="Arial"/>
              </w:rPr>
              <w:t>Kontakt:</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CF14BB" w:rsidRDefault="00CF14BB" w:rsidP="005F57B3">
            <w:pPr>
              <w:framePr w:w="9178" w:h="9917" w:wrap="around" w:vAnchor="page" w:hAnchor="page" w:x="1409" w:y="2947"/>
              <w:spacing w:after="0" w:line="240" w:lineRule="auto"/>
              <w:ind w:left="80" w:firstLine="194"/>
              <w:jc w:val="both"/>
              <w:rPr>
                <w:rStyle w:val="Teksttreci0"/>
                <w:rFonts w:ascii="Arial" w:eastAsiaTheme="minorHAnsi" w:hAnsi="Arial" w:cs="Arial"/>
              </w:rPr>
            </w:pPr>
            <w:r w:rsidRPr="0041508E">
              <w:rPr>
                <w:rStyle w:val="Teksttreci0"/>
                <w:rFonts w:ascii="Arial" w:eastAsiaTheme="minorHAnsi" w:hAnsi="Arial" w:cs="Arial"/>
              </w:rPr>
              <w:t xml:space="preserve">Bankowy Fundusz Gwarancyjny </w:t>
            </w:r>
          </w:p>
          <w:p w:rsidR="00EC10E3" w:rsidRPr="00EC10E3" w:rsidRDefault="00EC10E3" w:rsidP="005F57B3">
            <w:pPr>
              <w:framePr w:w="9178" w:h="9917" w:wrap="around" w:vAnchor="page" w:hAnchor="page" w:x="1409" w:y="2947"/>
              <w:spacing w:after="0" w:line="240" w:lineRule="auto"/>
              <w:ind w:left="80" w:firstLine="194"/>
              <w:jc w:val="both"/>
              <w:rPr>
                <w:rStyle w:val="Teksttreci0"/>
                <w:rFonts w:ascii="Arial" w:eastAsiaTheme="minorHAnsi" w:hAnsi="Arial" w:cs="Arial"/>
              </w:rPr>
            </w:pPr>
            <w:r w:rsidRPr="00EC10E3">
              <w:rPr>
                <w:rStyle w:val="Teksttreci0"/>
                <w:rFonts w:ascii="Arial" w:eastAsiaTheme="minorHAnsi" w:hAnsi="Arial" w:cs="Arial"/>
              </w:rPr>
              <w:t>Adres: ul. Ks. Ignacego Jana Skorupki 4</w:t>
            </w:r>
          </w:p>
          <w:p w:rsidR="00EC10E3" w:rsidRPr="00EC10E3" w:rsidRDefault="00EC10E3" w:rsidP="005F57B3">
            <w:pPr>
              <w:framePr w:w="9178" w:h="9917" w:wrap="around" w:vAnchor="page" w:hAnchor="page" w:x="1409" w:y="2947"/>
              <w:spacing w:after="0" w:line="240" w:lineRule="auto"/>
              <w:ind w:left="80" w:firstLine="194"/>
              <w:jc w:val="both"/>
              <w:rPr>
                <w:rStyle w:val="Teksttreci0"/>
                <w:rFonts w:ascii="Arial" w:eastAsiaTheme="minorHAnsi" w:hAnsi="Arial" w:cs="Arial"/>
              </w:rPr>
            </w:pPr>
            <w:r w:rsidRPr="00EC10E3">
              <w:rPr>
                <w:rStyle w:val="Teksttreci0"/>
                <w:rFonts w:ascii="Arial" w:eastAsiaTheme="minorHAnsi" w:hAnsi="Arial" w:cs="Arial"/>
              </w:rPr>
              <w:t>00-546 Warszawa</w:t>
            </w:r>
          </w:p>
          <w:p w:rsidR="00CF14BB" w:rsidRPr="00EC10E3" w:rsidRDefault="00CF14BB" w:rsidP="005F57B3">
            <w:pPr>
              <w:framePr w:w="9178" w:h="9917" w:wrap="around" w:vAnchor="page" w:hAnchor="page" w:x="1409" w:y="2947"/>
              <w:spacing w:after="0" w:line="240" w:lineRule="auto"/>
              <w:ind w:left="274"/>
              <w:jc w:val="both"/>
              <w:rPr>
                <w:rStyle w:val="Teksttreci0"/>
                <w:rFonts w:ascii="Arial" w:eastAsiaTheme="minorHAnsi" w:hAnsi="Arial" w:cs="Arial"/>
              </w:rPr>
            </w:pPr>
            <w:r w:rsidRPr="0041508E">
              <w:rPr>
                <w:rStyle w:val="Teksttreci0"/>
                <w:rFonts w:ascii="Arial" w:eastAsiaTheme="minorHAnsi" w:hAnsi="Arial" w:cs="Arial"/>
              </w:rPr>
              <w:t xml:space="preserve">Telefon: </w:t>
            </w:r>
            <w:r w:rsidR="00EC10E3" w:rsidRPr="00EC10E3">
              <w:rPr>
                <w:rStyle w:val="Teksttreci0"/>
                <w:rFonts w:ascii="Arial" w:eastAsiaTheme="minorHAnsi" w:hAnsi="Arial" w:cs="Arial"/>
                <w:i/>
                <w:iCs/>
              </w:rPr>
              <w:t>infolinia 800 569 341</w:t>
            </w:r>
          </w:p>
          <w:p w:rsidR="00CF14BB" w:rsidRPr="00002AD4" w:rsidRDefault="00CF14BB" w:rsidP="005F57B3">
            <w:pPr>
              <w:framePr w:w="9178" w:h="9917" w:wrap="around" w:vAnchor="page" w:hAnchor="page" w:x="1409" w:y="2947"/>
              <w:spacing w:after="0" w:line="240" w:lineRule="auto"/>
              <w:ind w:left="274"/>
              <w:jc w:val="both"/>
              <w:rPr>
                <w:rStyle w:val="Teksttreci0"/>
                <w:rFonts w:ascii="Arial" w:eastAsiaTheme="minorHAnsi" w:hAnsi="Arial" w:cs="Arial"/>
                <w:lang w:val="en-US"/>
              </w:rPr>
            </w:pPr>
            <w:proofErr w:type="spellStart"/>
            <w:r w:rsidRPr="00002AD4">
              <w:rPr>
                <w:rStyle w:val="Teksttreci0"/>
                <w:rFonts w:ascii="Arial" w:eastAsiaTheme="minorHAnsi" w:hAnsi="Arial" w:cs="Arial"/>
                <w:lang w:val="en-US"/>
              </w:rPr>
              <w:t>Faks</w:t>
            </w:r>
            <w:proofErr w:type="spellEnd"/>
            <w:r w:rsidRPr="00002AD4">
              <w:rPr>
                <w:rStyle w:val="Teksttreci0"/>
                <w:rFonts w:ascii="Arial" w:eastAsiaTheme="minorHAnsi" w:hAnsi="Arial" w:cs="Arial"/>
                <w:lang w:val="en-US"/>
              </w:rPr>
              <w:t xml:space="preserve">: </w:t>
            </w:r>
            <w:r w:rsidR="00EC10E3" w:rsidRPr="00002AD4">
              <w:rPr>
                <w:rStyle w:val="Teksttreci0"/>
                <w:rFonts w:ascii="Arial" w:eastAsiaTheme="minorHAnsi" w:hAnsi="Arial" w:cs="Arial"/>
                <w:i/>
                <w:iCs/>
                <w:lang w:val="en-US"/>
              </w:rPr>
              <w:t>22 58 30 589</w:t>
            </w:r>
          </w:p>
          <w:p w:rsidR="00CF14BB" w:rsidRPr="00002AD4" w:rsidRDefault="00A02833" w:rsidP="005F57B3">
            <w:pPr>
              <w:framePr w:w="9178" w:h="9917" w:wrap="around" w:vAnchor="page" w:hAnchor="page" w:x="1409" w:y="2947"/>
              <w:spacing w:after="0" w:line="240" w:lineRule="auto"/>
              <w:ind w:left="274"/>
              <w:jc w:val="both"/>
              <w:rPr>
                <w:rStyle w:val="Teksttreci0"/>
                <w:rFonts w:ascii="Arial" w:eastAsiaTheme="minorHAnsi" w:hAnsi="Arial" w:cs="Arial"/>
                <w:lang w:val="en-US"/>
              </w:rPr>
            </w:pPr>
            <w:r w:rsidRPr="00002AD4">
              <w:rPr>
                <w:rStyle w:val="Teksttreci0"/>
                <w:rFonts w:ascii="Arial" w:eastAsiaTheme="minorHAnsi" w:hAnsi="Arial" w:cs="Arial"/>
                <w:lang w:val="en-US"/>
              </w:rPr>
              <w:t>e</w:t>
            </w:r>
            <w:r w:rsidR="00EC10E3" w:rsidRPr="00002AD4">
              <w:rPr>
                <w:rStyle w:val="Teksttreci0"/>
                <w:rFonts w:ascii="Arial" w:eastAsiaTheme="minorHAnsi" w:hAnsi="Arial" w:cs="Arial"/>
                <w:lang w:val="en-US"/>
              </w:rPr>
              <w:t xml:space="preserve">-mail: </w:t>
            </w:r>
            <w:r w:rsidR="002C6B2B">
              <w:fldChar w:fldCharType="begin"/>
            </w:r>
            <w:r w:rsidR="002C6B2B" w:rsidRPr="005F7D86">
              <w:rPr>
                <w:lang w:val="en-US"/>
              </w:rPr>
              <w:instrText>HYPERLINK "mailto:kancelaria@bfg.pl"</w:instrText>
            </w:r>
            <w:r w:rsidR="002C6B2B">
              <w:fldChar w:fldCharType="separate"/>
            </w:r>
            <w:r w:rsidR="00EC10E3" w:rsidRPr="004F20E9">
              <w:rPr>
                <w:rFonts w:ascii="Arial" w:hAnsi="Arial" w:cs="Arial"/>
                <w:bCs/>
                <w:noProof/>
                <w:sz w:val="20"/>
                <w:szCs w:val="20"/>
                <w:lang w:val="en-US"/>
              </w:rPr>
              <w:t>kancelaria@bfg.p</w:t>
            </w:r>
            <w:r w:rsidR="002C6B2B">
              <w:fldChar w:fldCharType="end"/>
            </w:r>
            <w:r w:rsidR="00EC10E3" w:rsidRPr="00D45872">
              <w:rPr>
                <w:rFonts w:ascii="Arial" w:hAnsi="Arial" w:cs="Arial"/>
                <w:bCs/>
                <w:noProof/>
                <w:sz w:val="20"/>
                <w:szCs w:val="20"/>
                <w:lang w:val="en-US"/>
              </w:rPr>
              <w:t>l</w:t>
            </w:r>
          </w:p>
        </w:tc>
      </w:tr>
      <w:tr w:rsidR="006A171C" w:rsidRPr="00BB0CB4" w:rsidTr="005F57B3">
        <w:trPr>
          <w:trHeight w:hRule="exact" w:val="1151"/>
        </w:trPr>
        <w:tc>
          <w:tcPr>
            <w:tcW w:w="4253" w:type="dxa"/>
            <w:tcBorders>
              <w:top w:val="single" w:sz="4" w:space="0" w:color="auto"/>
              <w:left w:val="single" w:sz="4" w:space="0" w:color="auto"/>
              <w:bottom w:val="single" w:sz="4" w:space="0" w:color="auto"/>
            </w:tcBorders>
            <w:shd w:val="clear" w:color="auto" w:fill="FFFFFF"/>
            <w:vAlign w:val="center"/>
          </w:tcPr>
          <w:p w:rsidR="006A171C" w:rsidRPr="005F57B3" w:rsidRDefault="006A171C" w:rsidP="001063ED">
            <w:pPr>
              <w:framePr w:w="9178" w:h="9917" w:wrap="around" w:vAnchor="page" w:hAnchor="page" w:x="1409" w:y="2947"/>
              <w:spacing w:line="240" w:lineRule="auto"/>
              <w:ind w:left="80"/>
              <w:rPr>
                <w:rFonts w:ascii="Arial" w:hAnsi="Arial" w:cs="Arial"/>
                <w:sz w:val="20"/>
                <w:szCs w:val="20"/>
              </w:rPr>
            </w:pPr>
            <w:r w:rsidRPr="005F57B3">
              <w:rPr>
                <w:rStyle w:val="Teksttreci0"/>
                <w:rFonts w:ascii="Arial" w:eastAsiaTheme="minorHAnsi" w:hAnsi="Arial" w:cs="Arial"/>
              </w:rPr>
              <w:t>Informacje dodatkowe:</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6A171C" w:rsidRPr="008F4EA3" w:rsidRDefault="002C6B2B" w:rsidP="001063ED">
            <w:pPr>
              <w:framePr w:w="9178" w:h="9917" w:wrap="around" w:vAnchor="page" w:hAnchor="page" w:x="1409" w:y="2947"/>
              <w:spacing w:line="240" w:lineRule="auto"/>
              <w:ind w:firstLine="274"/>
              <w:rPr>
                <w:rFonts w:ascii="Arial" w:hAnsi="Arial" w:cs="Arial"/>
              </w:rPr>
            </w:pPr>
            <w:hyperlink r:id="rId8" w:history="1">
              <w:r w:rsidR="006A171C" w:rsidRPr="008F4EA3">
                <w:rPr>
                  <w:rStyle w:val="Hipercze"/>
                  <w:rFonts w:ascii="Arial" w:hAnsi="Arial" w:cs="Arial"/>
                  <w:lang w:val="en-US" w:bidi="en-US"/>
                </w:rPr>
                <w:t>https://www.bfg.pl/</w:t>
              </w:r>
            </w:hyperlink>
          </w:p>
        </w:tc>
      </w:tr>
      <w:tr w:rsidR="006A171C" w:rsidRPr="00BB0CB4" w:rsidTr="005F57B3">
        <w:trPr>
          <w:trHeight w:hRule="exact" w:val="842"/>
        </w:trPr>
        <w:tc>
          <w:tcPr>
            <w:tcW w:w="4253" w:type="dxa"/>
            <w:tcBorders>
              <w:top w:val="single" w:sz="4" w:space="0" w:color="auto"/>
              <w:left w:val="single" w:sz="4" w:space="0" w:color="auto"/>
              <w:bottom w:val="single" w:sz="4" w:space="0" w:color="auto"/>
            </w:tcBorders>
            <w:shd w:val="clear" w:color="auto" w:fill="FFFFFF"/>
            <w:vAlign w:val="center"/>
          </w:tcPr>
          <w:p w:rsidR="006A171C" w:rsidRPr="008F4EA3" w:rsidRDefault="006A171C" w:rsidP="005F57B3">
            <w:pPr>
              <w:framePr w:w="9178" w:h="9917" w:wrap="around" w:vAnchor="page" w:hAnchor="page" w:x="1409" w:y="2947"/>
              <w:spacing w:line="240" w:lineRule="auto"/>
              <w:ind w:left="80"/>
              <w:jc w:val="both"/>
              <w:rPr>
                <w:rFonts w:ascii="Arial" w:hAnsi="Arial" w:cs="Arial"/>
              </w:rPr>
            </w:pPr>
            <w:r w:rsidRPr="005F57B3">
              <w:rPr>
                <w:rStyle w:val="Teksttreci0"/>
                <w:rFonts w:ascii="Arial" w:eastAsiaTheme="minorHAnsi" w:hAnsi="Arial" w:cs="Arial"/>
              </w:rPr>
              <w:t>Potwierdzenie otrzymania przez deponenta</w:t>
            </w:r>
            <w:r w:rsidRPr="008F4EA3">
              <w:rPr>
                <w:rStyle w:val="Teksttreci0"/>
                <w:rFonts w:ascii="Arial" w:eastAsiaTheme="minorHAnsi" w:hAnsi="Arial" w:cs="Arial"/>
                <w:sz w:val="22"/>
                <w:szCs w:val="22"/>
              </w:rPr>
              <w:t>:</w:t>
            </w:r>
            <w:r w:rsidRPr="008F4EA3">
              <w:rPr>
                <w:rStyle w:val="Teksttreci0"/>
                <w:rFonts w:ascii="Arial" w:eastAsiaTheme="minorHAnsi" w:hAnsi="Arial" w:cs="Arial"/>
                <w:sz w:val="22"/>
                <w:szCs w:val="22"/>
                <w:vertAlign w:val="superscript"/>
              </w:rPr>
              <w:t>6</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6A171C" w:rsidRPr="008F4EA3" w:rsidRDefault="006A171C" w:rsidP="001063ED">
            <w:pPr>
              <w:framePr w:w="9178" w:h="9917" w:wrap="around" w:vAnchor="page" w:hAnchor="page" w:x="1409" w:y="2947"/>
              <w:spacing w:line="240" w:lineRule="auto"/>
              <w:rPr>
                <w:rFonts w:ascii="Arial" w:hAnsi="Arial" w:cs="Arial"/>
              </w:rPr>
            </w:pPr>
          </w:p>
        </w:tc>
      </w:tr>
    </w:tbl>
    <w:p w:rsidR="00BB0CB4" w:rsidRPr="008F4EA3" w:rsidRDefault="00BB0CB4">
      <w:pPr>
        <w:rPr>
          <w:rFonts w:ascii="Arial" w:hAnsi="Arial" w:cs="Arial"/>
        </w:rPr>
      </w:pPr>
    </w:p>
    <w:tbl>
      <w:tblPr>
        <w:tblOverlap w:val="never"/>
        <w:tblW w:w="0" w:type="auto"/>
        <w:tblInd w:w="10" w:type="dxa"/>
        <w:tblLayout w:type="fixed"/>
        <w:tblCellMar>
          <w:left w:w="10" w:type="dxa"/>
          <w:right w:w="10" w:type="dxa"/>
        </w:tblCellMar>
        <w:tblLook w:val="04A0"/>
      </w:tblPr>
      <w:tblGrid>
        <w:gridCol w:w="9177"/>
      </w:tblGrid>
      <w:tr w:rsidR="00BB0CB4" w:rsidRPr="008F4EA3" w:rsidTr="004F2994">
        <w:trPr>
          <w:trHeight w:hRule="exact" w:val="13612"/>
        </w:trPr>
        <w:tc>
          <w:tcPr>
            <w:tcW w:w="9177" w:type="dxa"/>
            <w:tcBorders>
              <w:top w:val="single" w:sz="4" w:space="0" w:color="auto"/>
              <w:left w:val="single" w:sz="4" w:space="0" w:color="auto"/>
              <w:bottom w:val="single" w:sz="4" w:space="0" w:color="auto"/>
              <w:right w:val="single" w:sz="4" w:space="0" w:color="auto"/>
            </w:tcBorders>
            <w:shd w:val="clear" w:color="auto" w:fill="FFFFFF"/>
          </w:tcPr>
          <w:p w:rsidR="00BB0CB4" w:rsidRPr="0032631C" w:rsidRDefault="00BB0CB4" w:rsidP="0032631C">
            <w:pPr>
              <w:framePr w:w="9178" w:h="13656" w:wrap="around" w:vAnchor="page" w:hAnchor="page" w:x="1419" w:y="1128"/>
              <w:spacing w:after="0" w:line="240" w:lineRule="auto"/>
              <w:rPr>
                <w:rFonts w:ascii="Arial" w:hAnsi="Arial" w:cs="Arial"/>
                <w:sz w:val="18"/>
                <w:szCs w:val="18"/>
              </w:rPr>
            </w:pPr>
            <w:r w:rsidRPr="0032631C">
              <w:rPr>
                <w:rStyle w:val="Teksttreci0"/>
                <w:rFonts w:ascii="Arial" w:eastAsiaTheme="minorHAnsi" w:hAnsi="Arial" w:cs="Arial"/>
                <w:sz w:val="18"/>
                <w:szCs w:val="18"/>
              </w:rPr>
              <w:t>Informacje dodatkowe:</w:t>
            </w:r>
          </w:p>
          <w:p w:rsidR="00BB0CB4" w:rsidRPr="0032631C" w:rsidRDefault="00BB0CB4" w:rsidP="005B7043">
            <w:pPr>
              <w:framePr w:w="9178" w:h="13656" w:wrap="around" w:vAnchor="page" w:hAnchor="page" w:x="1419" w:y="1128"/>
              <w:widowControl w:val="0"/>
              <w:numPr>
                <w:ilvl w:val="0"/>
                <w:numId w:val="1"/>
              </w:numPr>
              <w:tabs>
                <w:tab w:val="left" w:pos="197"/>
              </w:tabs>
              <w:spacing w:before="120" w:after="60" w:line="240" w:lineRule="auto"/>
              <w:jc w:val="both"/>
              <w:rPr>
                <w:rFonts w:ascii="Arial" w:hAnsi="Arial" w:cs="Arial"/>
                <w:sz w:val="18"/>
                <w:szCs w:val="18"/>
              </w:rPr>
            </w:pPr>
            <w:r w:rsidRPr="0032631C">
              <w:rPr>
                <w:rStyle w:val="Teksttreci0"/>
                <w:rFonts w:ascii="Arial" w:eastAsiaTheme="minorHAnsi" w:hAnsi="Arial" w:cs="Arial"/>
                <w:sz w:val="18"/>
                <w:szCs w:val="18"/>
              </w:rPr>
              <w:t>System odpowiedzialny za ochronę depozytu.</w:t>
            </w:r>
          </w:p>
          <w:p w:rsidR="00BB0CB4" w:rsidRPr="0032631C" w:rsidRDefault="00BB0CB4" w:rsidP="0032631C">
            <w:pPr>
              <w:framePr w:w="9178" w:h="13656" w:wrap="around" w:vAnchor="page" w:hAnchor="page" w:x="1419" w:y="1128"/>
              <w:spacing w:after="0" w:line="240" w:lineRule="auto"/>
              <w:rPr>
                <w:rFonts w:ascii="Arial" w:hAnsi="Arial" w:cs="Arial"/>
                <w:sz w:val="18"/>
                <w:szCs w:val="18"/>
              </w:rPr>
            </w:pPr>
            <w:r w:rsidRPr="0032631C">
              <w:rPr>
                <w:rStyle w:val="Teksttreci0"/>
                <w:rFonts w:ascii="Arial" w:eastAsiaTheme="minorHAnsi" w:hAnsi="Arial" w:cs="Arial"/>
                <w:sz w:val="18"/>
                <w:szCs w:val="18"/>
              </w:rPr>
              <w:t>Bankowy Fundusz Gwarancyjny jest odpowiedzialny za ochronę depozytów.</w:t>
            </w:r>
          </w:p>
          <w:p w:rsidR="00BB0CB4" w:rsidRPr="0032631C" w:rsidRDefault="00BB0CB4" w:rsidP="005B7043">
            <w:pPr>
              <w:framePr w:w="9178" w:h="13656" w:wrap="around" w:vAnchor="page" w:hAnchor="page" w:x="1419" w:y="1128"/>
              <w:widowControl w:val="0"/>
              <w:numPr>
                <w:ilvl w:val="0"/>
                <w:numId w:val="1"/>
              </w:numPr>
              <w:tabs>
                <w:tab w:val="left" w:pos="178"/>
              </w:tabs>
              <w:spacing w:before="120" w:after="120" w:line="240" w:lineRule="auto"/>
              <w:jc w:val="both"/>
              <w:rPr>
                <w:rFonts w:ascii="Arial" w:hAnsi="Arial" w:cs="Arial"/>
                <w:sz w:val="18"/>
                <w:szCs w:val="18"/>
              </w:rPr>
            </w:pPr>
            <w:r w:rsidRPr="0032631C">
              <w:rPr>
                <w:rStyle w:val="Teksttreci0"/>
                <w:rFonts w:ascii="Arial" w:eastAsiaTheme="minorHAnsi" w:hAnsi="Arial" w:cs="Arial"/>
                <w:sz w:val="18"/>
                <w:szCs w:val="18"/>
                <w:vertAlign w:val="superscript"/>
              </w:rPr>
              <w:t>3)</w:t>
            </w:r>
            <w:r w:rsidRPr="0032631C">
              <w:rPr>
                <w:rStyle w:val="Teksttreci0"/>
                <w:rFonts w:ascii="Arial" w:eastAsiaTheme="minorHAnsi" w:hAnsi="Arial" w:cs="Arial"/>
                <w:sz w:val="18"/>
                <w:szCs w:val="18"/>
              </w:rPr>
              <w:t xml:space="preserve"> Ogólny zakres ochrony.</w:t>
            </w:r>
          </w:p>
          <w:p w:rsidR="00BB0CB4" w:rsidRPr="0032631C" w:rsidRDefault="00BB0CB4" w:rsidP="00102245">
            <w:pPr>
              <w:framePr w:w="9178" w:h="13656" w:wrap="around" w:vAnchor="page" w:hAnchor="page" w:x="1419" w:y="1128"/>
              <w:spacing w:after="0" w:line="240" w:lineRule="auto"/>
              <w:ind w:right="236"/>
              <w:jc w:val="both"/>
              <w:rPr>
                <w:rFonts w:ascii="Arial" w:hAnsi="Arial" w:cs="Arial"/>
                <w:sz w:val="18"/>
                <w:szCs w:val="18"/>
              </w:rPr>
            </w:pPr>
            <w:r w:rsidRPr="0032631C">
              <w:rPr>
                <w:rStyle w:val="Teksttreci0"/>
                <w:rFonts w:ascii="Arial" w:eastAsiaTheme="minorHAnsi" w:hAnsi="Arial" w:cs="Arial"/>
                <w:sz w:val="18"/>
                <w:szCs w:val="18"/>
              </w:rPr>
              <w:t>Jeżeli depozyt nie jest dostępny, gdyż podmiot objęty systemem gwarantowania nie jest w stanie wypełnić swoich zobowiązań finansowych, wypłaty na rzecz deponentów dokonuje Bankowy Fundusz Gwarancyjny. Kwota wypłaty wynosi maksymalnie równowartość w złotych 100 000 euro w odniesieniu do każdego deponenta w jednym podmiocie objętym systemem gwarantowania. Oznacza to, że w celu określenia kwoty objętej gwarancją sumowane są wszystkie depozyty ulokowane w tym samym podmiocie objętym systemem gwarantowania. Przykładowo, jeżeli deponent posiada równowartość w złotych 90 000 euro na rachunku oszczędnościowym i równowartość w złotych 20 000 euro na rachunku bieżącym w tym samym podmiocie objętym systemem gwarantowania, wypłacona zostanie jedynie kwota równowartości w złotych 100 000 euro.</w:t>
            </w:r>
          </w:p>
          <w:p w:rsidR="00BB0CB4" w:rsidRPr="0032631C" w:rsidRDefault="00BB0CB4" w:rsidP="00102245">
            <w:pPr>
              <w:framePr w:w="9178" w:h="13656" w:wrap="around" w:vAnchor="page" w:hAnchor="page" w:x="1419" w:y="1128"/>
              <w:spacing w:before="120" w:after="0" w:line="240" w:lineRule="auto"/>
              <w:ind w:left="23" w:right="236"/>
              <w:jc w:val="both"/>
              <w:rPr>
                <w:rFonts w:ascii="Arial" w:hAnsi="Arial" w:cs="Arial"/>
                <w:strike/>
                <w:sz w:val="18"/>
                <w:szCs w:val="18"/>
              </w:rPr>
            </w:pPr>
            <w:r w:rsidRPr="0032631C">
              <w:rPr>
                <w:rStyle w:val="Teksttreci0"/>
                <w:rFonts w:ascii="Arial" w:eastAsiaTheme="minorHAnsi" w:hAnsi="Arial" w:cs="Arial"/>
                <w:strike/>
                <w:sz w:val="18"/>
                <w:szCs w:val="18"/>
              </w:rPr>
              <w:t xml:space="preserve">[Tylko w stosownych przypadkach:] Metoda ta jest również stosowana w przypadku, gdy podmiot objęty systemem gwarantowania prowadzi działalność pod różnymi znakami towarowymi. </w:t>
            </w:r>
            <w:r w:rsidRPr="0032631C">
              <w:rPr>
                <w:rStyle w:val="TeksttreciKursywaOdstpy0pt"/>
                <w:rFonts w:ascii="Arial" w:eastAsiaTheme="minorHAnsi" w:hAnsi="Arial" w:cs="Arial"/>
                <w:strike/>
                <w:sz w:val="18"/>
                <w:szCs w:val="18"/>
              </w:rPr>
              <w:t>[Wpisać nazwę podmiotu objętego systemem gwarantowania prowadzącego rachunek]</w:t>
            </w:r>
            <w:r w:rsidRPr="0032631C">
              <w:rPr>
                <w:rStyle w:val="Teksttreci0"/>
                <w:rFonts w:ascii="Arial" w:eastAsiaTheme="minorHAnsi" w:hAnsi="Arial" w:cs="Arial"/>
                <w:strike/>
                <w:sz w:val="18"/>
                <w:szCs w:val="18"/>
              </w:rPr>
              <w:t xml:space="preserve"> działa również pod nazwą </w:t>
            </w:r>
            <w:r w:rsidRPr="0032631C">
              <w:rPr>
                <w:rStyle w:val="TeksttreciKursywaOdstpy0pt"/>
                <w:rFonts w:ascii="Arial" w:eastAsiaTheme="minorHAnsi" w:hAnsi="Arial" w:cs="Arial"/>
                <w:strike/>
                <w:sz w:val="18"/>
                <w:szCs w:val="18"/>
              </w:rPr>
              <w:t>[wpisać wszystkie inne znaki towarowe tego samego podmiotu objętego systemem gwarantowania].</w:t>
            </w:r>
            <w:r w:rsidRPr="0032631C">
              <w:rPr>
                <w:rStyle w:val="Teksttreci0"/>
                <w:rFonts w:ascii="Arial" w:eastAsiaTheme="minorHAnsi" w:hAnsi="Arial" w:cs="Arial"/>
                <w:strike/>
                <w:sz w:val="18"/>
                <w:szCs w:val="18"/>
              </w:rPr>
              <w:t xml:space="preserve"> Oznacza to, że suma wszystkich depozytów </w:t>
            </w:r>
            <w:r w:rsidRPr="0032631C">
              <w:rPr>
                <w:rFonts w:ascii="Arial" w:hAnsi="Arial" w:cs="Arial"/>
                <w:strike/>
                <w:sz w:val="18"/>
                <w:szCs w:val="18"/>
              </w:rPr>
              <w:t xml:space="preserve"> ulokowanych pod jednym lub wieloma z tych znaków towarowych jest gwarantowana łącznie do wysokości równowartości w złotych 100 000 euro.</w:t>
            </w:r>
          </w:p>
          <w:p w:rsidR="00A10A64" w:rsidRPr="00003006" w:rsidRDefault="00A10A64" w:rsidP="00102245">
            <w:pPr>
              <w:framePr w:w="9178" w:h="13656" w:wrap="around" w:vAnchor="page" w:hAnchor="page" w:x="1419" w:y="1128"/>
              <w:widowControl w:val="0"/>
              <w:spacing w:before="120" w:after="0" w:line="240" w:lineRule="auto"/>
              <w:ind w:left="23" w:right="236"/>
              <w:jc w:val="both"/>
              <w:rPr>
                <w:rStyle w:val="Teksttreci0"/>
                <w:rFonts w:ascii="Arial" w:eastAsiaTheme="minorHAnsi" w:hAnsi="Arial" w:cs="Arial"/>
                <w:sz w:val="18"/>
                <w:szCs w:val="18"/>
              </w:rPr>
            </w:pPr>
            <w:r w:rsidRPr="0032631C">
              <w:rPr>
                <w:rStyle w:val="Teksttreci0"/>
                <w:rFonts w:ascii="Arial" w:eastAsiaTheme="minorHAnsi" w:hAnsi="Arial" w:cs="Arial"/>
                <w:sz w:val="18"/>
                <w:szCs w:val="18"/>
              </w:rPr>
              <w:t xml:space="preserve">Do </w:t>
            </w:r>
            <w:r w:rsidRPr="00003006">
              <w:rPr>
                <w:rStyle w:val="Teksttreci0"/>
                <w:rFonts w:ascii="Arial" w:eastAsiaTheme="minorHAnsi" w:hAnsi="Arial" w:cs="Arial"/>
                <w:sz w:val="18"/>
                <w:szCs w:val="18"/>
              </w:rPr>
              <w:t>obliczenia równowartości euro w złotych przyjmuje się kurs średni ogłaszany przez Narodowy Bank Polski w dniu spełnienia warunku gwarancji, w rozumieniu art. 2 pkt 10 ustawy z dnia 10 czerwca 2016 r. o</w:t>
            </w:r>
            <w:r w:rsidR="00003006" w:rsidRPr="00003006">
              <w:rPr>
                <w:rStyle w:val="Teksttreci0"/>
                <w:rFonts w:ascii="Arial" w:eastAsiaTheme="minorHAnsi" w:hAnsi="Arial" w:cs="Arial"/>
                <w:sz w:val="18"/>
                <w:szCs w:val="18"/>
              </w:rPr>
              <w:t> </w:t>
            </w:r>
            <w:r w:rsidRPr="00003006">
              <w:rPr>
                <w:rStyle w:val="Teksttreci0"/>
                <w:rFonts w:ascii="Arial" w:eastAsiaTheme="minorHAnsi" w:hAnsi="Arial" w:cs="Arial"/>
                <w:sz w:val="18"/>
                <w:szCs w:val="18"/>
              </w:rPr>
              <w:t>Bankowym Funduszu Gwarancyjnym, systemie gwarantowania depozytów oraz przymusowej restrukturyzacji (Dz. U. poz. 996), wobec danego podmiotu objętego systemem gwarantowania depozytów.</w:t>
            </w:r>
          </w:p>
          <w:p w:rsidR="00A10A64" w:rsidRPr="00003006" w:rsidRDefault="00A10A64" w:rsidP="00102245">
            <w:pPr>
              <w:framePr w:w="9178" w:h="13656" w:wrap="around" w:vAnchor="page" w:hAnchor="page" w:x="1419" w:y="1128"/>
              <w:widowControl w:val="0"/>
              <w:numPr>
                <w:ilvl w:val="0"/>
                <w:numId w:val="2"/>
              </w:numPr>
              <w:tabs>
                <w:tab w:val="left" w:pos="285"/>
              </w:tabs>
              <w:spacing w:before="120" w:after="120" w:line="240" w:lineRule="auto"/>
              <w:ind w:left="23" w:right="236"/>
              <w:jc w:val="both"/>
              <w:rPr>
                <w:rStyle w:val="Teksttreci0"/>
                <w:rFonts w:ascii="Arial" w:eastAsiaTheme="minorHAnsi" w:hAnsi="Arial" w:cs="Arial"/>
                <w:sz w:val="18"/>
                <w:szCs w:val="18"/>
              </w:rPr>
            </w:pPr>
            <w:r w:rsidRPr="00003006">
              <w:rPr>
                <w:rStyle w:val="Teksttreci0"/>
                <w:rFonts w:ascii="Arial" w:eastAsiaTheme="minorHAnsi" w:hAnsi="Arial" w:cs="Arial"/>
                <w:sz w:val="18"/>
                <w:szCs w:val="18"/>
              </w:rPr>
              <w:t>Limit ochrony wspólnych rachunków.</w:t>
            </w:r>
          </w:p>
          <w:p w:rsidR="00A10A64" w:rsidRPr="005F5828" w:rsidRDefault="00A10A64" w:rsidP="00102245">
            <w:pPr>
              <w:framePr w:w="9178" w:h="13656" w:wrap="around" w:vAnchor="page" w:hAnchor="page" w:x="1419" w:y="1128"/>
              <w:widowControl w:val="0"/>
              <w:spacing w:after="0" w:line="240" w:lineRule="auto"/>
              <w:ind w:left="20" w:right="236"/>
              <w:jc w:val="both"/>
              <w:rPr>
                <w:rStyle w:val="Teksttreci0"/>
                <w:rFonts w:ascii="Arial" w:eastAsiaTheme="minorHAnsi" w:hAnsi="Arial" w:cs="Arial"/>
                <w:sz w:val="18"/>
                <w:szCs w:val="18"/>
              </w:rPr>
            </w:pPr>
            <w:r w:rsidRPr="00003006">
              <w:rPr>
                <w:rStyle w:val="Teksttreci0"/>
                <w:rFonts w:ascii="Arial" w:eastAsiaTheme="minorHAnsi" w:hAnsi="Arial" w:cs="Arial"/>
                <w:sz w:val="18"/>
                <w:szCs w:val="18"/>
              </w:rPr>
              <w:t>W przypadku wspólnych rachunków limit równowartości w złotych 100 000 euro stosuje się do każdego z</w:t>
            </w:r>
            <w:r w:rsidR="00003006" w:rsidRPr="00003006">
              <w:rPr>
                <w:rStyle w:val="Teksttreci0"/>
                <w:rFonts w:ascii="Arial" w:eastAsiaTheme="minorHAnsi" w:hAnsi="Arial" w:cs="Arial"/>
                <w:sz w:val="18"/>
                <w:szCs w:val="18"/>
              </w:rPr>
              <w:t> </w:t>
            </w:r>
            <w:r w:rsidRPr="005F5828">
              <w:rPr>
                <w:rStyle w:val="Teksttreci0"/>
                <w:rFonts w:ascii="Arial" w:eastAsiaTheme="minorHAnsi" w:hAnsi="Arial" w:cs="Arial"/>
                <w:sz w:val="18"/>
                <w:szCs w:val="18"/>
              </w:rPr>
              <w:t>deponentów.</w:t>
            </w:r>
            <w:r w:rsidR="007929B1">
              <w:rPr>
                <w:rStyle w:val="Teksttreci0"/>
                <w:rFonts w:ascii="Arial" w:eastAsiaTheme="minorHAnsi" w:hAnsi="Arial" w:cs="Arial"/>
                <w:sz w:val="18"/>
                <w:szCs w:val="18"/>
              </w:rPr>
              <w:t xml:space="preserve"> </w:t>
            </w:r>
            <w:r w:rsidRPr="005F5828">
              <w:rPr>
                <w:rStyle w:val="Teksttreci0"/>
                <w:rFonts w:ascii="Arial" w:eastAsiaTheme="minorHAnsi" w:hAnsi="Arial" w:cs="Arial"/>
                <w:sz w:val="18"/>
                <w:szCs w:val="18"/>
              </w:rPr>
              <w:t>Jednakże depozyty na rachunku, do którego dwie lub więcej osób jest uprawnionych jako członkowie spółki osobowej, stowarzyszenia lub jednostki organizacyjnej nieposiadającej osobowości prawnej, której odrębna ustawa przyznaje zdolność prawną, są do celów obliczenia górnego limitu równowartości w złotych 100 000 euro sumowane i traktowane jako depozyt jednego deponenta.</w:t>
            </w:r>
          </w:p>
          <w:p w:rsidR="0032631C" w:rsidRPr="005F5828" w:rsidRDefault="0032631C" w:rsidP="00102245">
            <w:pPr>
              <w:framePr w:w="9178" w:h="13656" w:wrap="around" w:vAnchor="page" w:hAnchor="page" w:x="1419" w:y="1128"/>
              <w:spacing w:before="120" w:after="0" w:line="240" w:lineRule="auto"/>
              <w:ind w:left="23" w:right="236"/>
              <w:rPr>
                <w:rFonts w:ascii="Arial" w:hAnsi="Arial" w:cs="Arial"/>
                <w:sz w:val="18"/>
                <w:szCs w:val="18"/>
              </w:rPr>
            </w:pPr>
            <w:r w:rsidRPr="005F5828">
              <w:rPr>
                <w:rFonts w:ascii="Arial" w:hAnsi="Arial" w:cs="Arial"/>
                <w:sz w:val="18"/>
                <w:szCs w:val="18"/>
              </w:rPr>
              <w:t>W przypadku gdy środki lub należności deponent</w:t>
            </w:r>
            <w:r w:rsidR="005F5828">
              <w:rPr>
                <w:rFonts w:ascii="Arial" w:hAnsi="Arial" w:cs="Arial"/>
                <w:sz w:val="18"/>
                <w:szCs w:val="18"/>
              </w:rPr>
              <w:t>a będącego osobą fizyczną pocho</w:t>
            </w:r>
            <w:r w:rsidRPr="005F5828">
              <w:rPr>
                <w:rFonts w:ascii="Arial" w:hAnsi="Arial" w:cs="Arial"/>
                <w:sz w:val="18"/>
                <w:szCs w:val="18"/>
              </w:rPr>
              <w:t>dzą z:</w:t>
            </w:r>
          </w:p>
          <w:p w:rsidR="004F2994" w:rsidRPr="004F2994" w:rsidRDefault="004F2994" w:rsidP="004F2994">
            <w:pPr>
              <w:framePr w:w="9178" w:h="13656" w:wrap="around" w:vAnchor="page" w:hAnchor="page" w:x="1419" w:y="1128"/>
              <w:widowControl w:val="0"/>
              <w:numPr>
                <w:ilvl w:val="0"/>
                <w:numId w:val="3"/>
              </w:numPr>
              <w:tabs>
                <w:tab w:val="left" w:pos="438"/>
              </w:tabs>
              <w:spacing w:before="60" w:after="0" w:line="240" w:lineRule="auto"/>
              <w:ind w:right="236"/>
              <w:jc w:val="both"/>
              <w:rPr>
                <w:rFonts w:ascii="Arial" w:eastAsia="Times New Roman" w:hAnsi="Arial" w:cs="Arial"/>
                <w:spacing w:val="4"/>
                <w:sz w:val="18"/>
                <w:szCs w:val="18"/>
                <w:lang w:eastAsia="pl-PL" w:bidi="pl-PL"/>
              </w:rPr>
            </w:pPr>
            <w:r w:rsidRPr="004F2994">
              <w:rPr>
                <w:rFonts w:ascii="Arial" w:eastAsia="Times New Roman" w:hAnsi="Arial" w:cs="Arial"/>
                <w:spacing w:val="4"/>
                <w:sz w:val="18"/>
                <w:szCs w:val="18"/>
                <w:lang w:eastAsia="pl-PL" w:bidi="pl-PL"/>
              </w:rPr>
              <w:t>odpłatnego zbycia:</w:t>
            </w:r>
          </w:p>
          <w:p w:rsidR="004F2994" w:rsidRPr="004F2994" w:rsidRDefault="004F2994" w:rsidP="004F2994">
            <w:pPr>
              <w:pStyle w:val="Akapitzlist"/>
              <w:framePr w:w="9178" w:h="13656" w:wrap="around" w:vAnchor="page" w:hAnchor="page" w:x="1419" w:y="1128"/>
              <w:widowControl w:val="0"/>
              <w:numPr>
                <w:ilvl w:val="0"/>
                <w:numId w:val="5"/>
              </w:numPr>
              <w:tabs>
                <w:tab w:val="left" w:pos="438"/>
              </w:tabs>
              <w:spacing w:before="60" w:after="0" w:line="240" w:lineRule="auto"/>
              <w:ind w:right="236"/>
              <w:jc w:val="both"/>
              <w:rPr>
                <w:rFonts w:ascii="Arial" w:eastAsia="Times New Roman" w:hAnsi="Arial" w:cs="Arial"/>
                <w:spacing w:val="4"/>
                <w:sz w:val="18"/>
                <w:szCs w:val="18"/>
                <w:lang w:eastAsia="pl-PL" w:bidi="pl-PL"/>
              </w:rPr>
            </w:pPr>
            <w:r w:rsidRPr="004F2994">
              <w:rPr>
                <w:rFonts w:ascii="Arial" w:eastAsia="Times New Roman" w:hAnsi="Arial" w:cs="Arial"/>
                <w:spacing w:val="4"/>
                <w:sz w:val="18"/>
                <w:szCs w:val="18"/>
                <w:lang w:eastAsia="pl-PL" w:bidi="pl-PL"/>
              </w:rPr>
              <w:t xml:space="preserve">nieruchomości zabudowanej budynkiem mieszkalnym jednorodzinnym w rozumieniu przepisów ustawy z dnia 7 lipca 1994 r. - Prawo budowlane (Dz. U. z 2016 r. poz. 290, z </w:t>
            </w:r>
            <w:proofErr w:type="spellStart"/>
            <w:r w:rsidRPr="004F2994">
              <w:rPr>
                <w:rFonts w:ascii="Arial" w:eastAsia="Times New Roman" w:hAnsi="Arial" w:cs="Arial"/>
                <w:spacing w:val="4"/>
                <w:sz w:val="18"/>
                <w:szCs w:val="18"/>
                <w:lang w:eastAsia="pl-PL" w:bidi="pl-PL"/>
              </w:rPr>
              <w:t>późn</w:t>
            </w:r>
            <w:proofErr w:type="spellEnd"/>
            <w:r w:rsidRPr="004F2994">
              <w:rPr>
                <w:rFonts w:ascii="Arial" w:eastAsia="Times New Roman" w:hAnsi="Arial" w:cs="Arial"/>
                <w:spacing w:val="4"/>
                <w:sz w:val="18"/>
                <w:szCs w:val="18"/>
                <w:lang w:eastAsia="pl-PL" w:bidi="pl-PL"/>
              </w:rPr>
              <w:t>. zm.), jej części lub udziału w takiej nieruchomości,</w:t>
            </w:r>
          </w:p>
          <w:p w:rsidR="004F2994" w:rsidRPr="004F2994" w:rsidRDefault="004F2994" w:rsidP="004F2994">
            <w:pPr>
              <w:pStyle w:val="Akapitzlist"/>
              <w:framePr w:w="9178" w:h="13656" w:wrap="around" w:vAnchor="page" w:hAnchor="page" w:x="1419" w:y="1128"/>
              <w:widowControl w:val="0"/>
              <w:numPr>
                <w:ilvl w:val="0"/>
                <w:numId w:val="5"/>
              </w:numPr>
              <w:tabs>
                <w:tab w:val="left" w:pos="438"/>
              </w:tabs>
              <w:spacing w:before="60" w:after="0" w:line="240" w:lineRule="auto"/>
              <w:ind w:right="236"/>
              <w:jc w:val="both"/>
              <w:rPr>
                <w:rFonts w:ascii="Arial" w:eastAsia="Times New Roman" w:hAnsi="Arial" w:cs="Arial"/>
                <w:spacing w:val="4"/>
                <w:sz w:val="18"/>
                <w:szCs w:val="18"/>
                <w:lang w:eastAsia="pl-PL" w:bidi="pl-PL"/>
              </w:rPr>
            </w:pPr>
            <w:r w:rsidRPr="004F2994">
              <w:rPr>
                <w:rFonts w:ascii="Arial" w:eastAsia="Times New Roman" w:hAnsi="Arial" w:cs="Arial"/>
                <w:spacing w:val="4"/>
                <w:sz w:val="18"/>
                <w:szCs w:val="18"/>
                <w:lang w:eastAsia="pl-PL" w:bidi="pl-PL"/>
              </w:rPr>
              <w:t xml:space="preserve"> prawa użytkowania wieczystego gruntu zabudowanego budynkiem mieszkalnym jednorodzinnym w rozumieniu przepisów ustawy z dnia 7 lipca 1994 r. - Prawo budowlane lub udziału w takim prawie,</w:t>
            </w:r>
          </w:p>
          <w:p w:rsidR="004F2994" w:rsidRPr="004F2994" w:rsidRDefault="004F2994" w:rsidP="004F2994">
            <w:pPr>
              <w:pStyle w:val="Akapitzlist"/>
              <w:framePr w:w="9178" w:h="13656" w:wrap="around" w:vAnchor="page" w:hAnchor="page" w:x="1419" w:y="1128"/>
              <w:widowControl w:val="0"/>
              <w:numPr>
                <w:ilvl w:val="0"/>
                <w:numId w:val="5"/>
              </w:numPr>
              <w:tabs>
                <w:tab w:val="left" w:pos="438"/>
              </w:tabs>
              <w:spacing w:before="60" w:after="0" w:line="240" w:lineRule="auto"/>
              <w:ind w:right="236"/>
              <w:jc w:val="both"/>
              <w:rPr>
                <w:rFonts w:ascii="Arial" w:eastAsia="Times New Roman" w:hAnsi="Arial" w:cs="Arial"/>
                <w:spacing w:val="4"/>
                <w:sz w:val="18"/>
                <w:szCs w:val="18"/>
                <w:lang w:eastAsia="pl-PL" w:bidi="pl-PL"/>
              </w:rPr>
            </w:pPr>
            <w:r w:rsidRPr="004F2994">
              <w:rPr>
                <w:rFonts w:ascii="Arial" w:eastAsia="Times New Roman" w:hAnsi="Arial" w:cs="Arial"/>
                <w:spacing w:val="4"/>
                <w:sz w:val="18"/>
                <w:szCs w:val="18"/>
                <w:lang w:eastAsia="pl-PL" w:bidi="pl-PL"/>
              </w:rPr>
              <w:t xml:space="preserve"> samodzielnego lokalu mieszkalnego w rozumieniu przepisów ustawy z dnia 24 czerwca 1994 r. o własności lokali (Dz. U. z 2015 r. poz. 1892) stanowiącego odrębną nieruchomość lub udziału w takim lokalu, gruntu lub udziału w gruncie albo prawa użytkowania wieczystego gruntu lub udziału w takim prawie, związanych z tym lokalem,</w:t>
            </w:r>
          </w:p>
          <w:p w:rsidR="004F2994" w:rsidRPr="004F2994" w:rsidRDefault="004F2994" w:rsidP="004F2994">
            <w:pPr>
              <w:pStyle w:val="Akapitzlist"/>
              <w:framePr w:w="9178" w:h="13656" w:wrap="around" w:vAnchor="page" w:hAnchor="page" w:x="1419" w:y="1128"/>
              <w:widowControl w:val="0"/>
              <w:numPr>
                <w:ilvl w:val="0"/>
                <w:numId w:val="5"/>
              </w:numPr>
              <w:tabs>
                <w:tab w:val="left" w:pos="438"/>
              </w:tabs>
              <w:spacing w:before="60" w:after="0" w:line="240" w:lineRule="auto"/>
              <w:ind w:right="236"/>
              <w:jc w:val="both"/>
              <w:rPr>
                <w:rFonts w:ascii="Arial" w:eastAsia="Times New Roman" w:hAnsi="Arial" w:cs="Arial"/>
                <w:spacing w:val="4"/>
                <w:sz w:val="18"/>
                <w:szCs w:val="18"/>
                <w:lang w:eastAsia="pl-PL" w:bidi="pl-PL"/>
              </w:rPr>
            </w:pPr>
            <w:r w:rsidRPr="004F2994">
              <w:rPr>
                <w:rFonts w:ascii="Arial" w:eastAsia="Times New Roman" w:hAnsi="Arial" w:cs="Arial"/>
                <w:spacing w:val="4"/>
                <w:sz w:val="18"/>
                <w:szCs w:val="18"/>
                <w:lang w:eastAsia="pl-PL" w:bidi="pl-PL"/>
              </w:rPr>
              <w:t xml:space="preserve"> spółdzielczego własnościowego prawa do lokalu o przeznaczeniu mieszkalnym lub udziału w takim prawie</w:t>
            </w:r>
          </w:p>
          <w:p w:rsidR="004F2994" w:rsidRDefault="004F2994" w:rsidP="004F2994">
            <w:pPr>
              <w:framePr w:w="9178" w:h="13656" w:wrap="around" w:vAnchor="page" w:hAnchor="page" w:x="1419" w:y="1128"/>
              <w:widowControl w:val="0"/>
              <w:tabs>
                <w:tab w:val="left" w:pos="438"/>
              </w:tabs>
              <w:spacing w:before="60" w:after="0" w:line="240" w:lineRule="auto"/>
              <w:ind w:left="414" w:right="236"/>
              <w:jc w:val="both"/>
              <w:rPr>
                <w:rFonts w:ascii="Arial" w:eastAsia="Times New Roman" w:hAnsi="Arial" w:cs="Arial"/>
                <w:spacing w:val="4"/>
                <w:sz w:val="18"/>
                <w:szCs w:val="18"/>
                <w:lang w:eastAsia="pl-PL" w:bidi="pl-PL"/>
              </w:rPr>
            </w:pPr>
            <w:r w:rsidRPr="004F2994">
              <w:rPr>
                <w:rFonts w:ascii="Arial" w:eastAsia="Times New Roman" w:hAnsi="Arial" w:cs="Arial"/>
                <w:spacing w:val="4"/>
                <w:sz w:val="18"/>
                <w:szCs w:val="18"/>
                <w:lang w:eastAsia="pl-PL" w:bidi="pl-PL"/>
              </w:rPr>
              <w:t>- jeżeli zbycie to nie nastąpiło w ramach wykonywanej działalności gospodarczej</w:t>
            </w:r>
            <w:r>
              <w:rPr>
                <w:rFonts w:ascii="Arial" w:eastAsia="Times New Roman" w:hAnsi="Arial" w:cs="Arial"/>
                <w:spacing w:val="4"/>
                <w:sz w:val="18"/>
                <w:szCs w:val="18"/>
                <w:lang w:eastAsia="pl-PL" w:bidi="pl-PL"/>
              </w:rPr>
              <w:t>,</w:t>
            </w:r>
          </w:p>
          <w:p w:rsidR="0032631C" w:rsidRPr="0033559B" w:rsidRDefault="0032631C" w:rsidP="00102245">
            <w:pPr>
              <w:framePr w:w="9178" w:h="13656" w:wrap="around" w:vAnchor="page" w:hAnchor="page" w:x="1419" w:y="1128"/>
              <w:widowControl w:val="0"/>
              <w:numPr>
                <w:ilvl w:val="0"/>
                <w:numId w:val="3"/>
              </w:numPr>
              <w:tabs>
                <w:tab w:val="left" w:pos="438"/>
              </w:tabs>
              <w:spacing w:before="60" w:after="0" w:line="240" w:lineRule="auto"/>
              <w:ind w:left="414" w:right="236" w:hanging="414"/>
              <w:jc w:val="both"/>
              <w:rPr>
                <w:rFonts w:ascii="Arial" w:eastAsia="Times New Roman" w:hAnsi="Arial" w:cs="Arial"/>
                <w:spacing w:val="4"/>
                <w:sz w:val="18"/>
                <w:szCs w:val="18"/>
                <w:lang w:eastAsia="pl-PL" w:bidi="pl-PL"/>
              </w:rPr>
            </w:pPr>
            <w:r w:rsidRPr="0033559B">
              <w:rPr>
                <w:rFonts w:ascii="Arial" w:eastAsia="Times New Roman" w:hAnsi="Arial" w:cs="Arial"/>
                <w:spacing w:val="4"/>
                <w:sz w:val="18"/>
                <w:szCs w:val="18"/>
                <w:lang w:eastAsia="pl-PL" w:bidi="pl-PL"/>
              </w:rPr>
              <w:t>wykonania na rzecz deponenta umownego lub sądowego podziału majątku po ustaniu małżeńskiej wspólności majątkowej,</w:t>
            </w:r>
          </w:p>
          <w:p w:rsidR="0032631C" w:rsidRPr="0033559B" w:rsidRDefault="0032631C" w:rsidP="00102245">
            <w:pPr>
              <w:framePr w:w="9178" w:h="13656" w:wrap="around" w:vAnchor="page" w:hAnchor="page" w:x="1419" w:y="1128"/>
              <w:widowControl w:val="0"/>
              <w:numPr>
                <w:ilvl w:val="0"/>
                <w:numId w:val="3"/>
              </w:numPr>
              <w:tabs>
                <w:tab w:val="left" w:pos="438"/>
              </w:tabs>
              <w:spacing w:after="0" w:line="240" w:lineRule="auto"/>
              <w:ind w:left="416" w:right="236" w:hanging="416"/>
              <w:jc w:val="both"/>
              <w:rPr>
                <w:rFonts w:ascii="Arial" w:eastAsia="Times New Roman" w:hAnsi="Arial" w:cs="Arial"/>
                <w:spacing w:val="4"/>
                <w:sz w:val="18"/>
                <w:szCs w:val="18"/>
                <w:lang w:eastAsia="pl-PL" w:bidi="pl-PL"/>
              </w:rPr>
            </w:pPr>
            <w:r w:rsidRPr="0033559B">
              <w:rPr>
                <w:rFonts w:ascii="Arial" w:eastAsia="Times New Roman" w:hAnsi="Arial" w:cs="Arial"/>
                <w:spacing w:val="4"/>
                <w:sz w:val="18"/>
                <w:szCs w:val="18"/>
                <w:lang w:eastAsia="pl-PL" w:bidi="pl-PL"/>
              </w:rPr>
              <w:t>nabycia przez deponenta spadku, wykonania na jego rzecz zapisu lub otrzymania przez niego zachowku,</w:t>
            </w:r>
          </w:p>
          <w:p w:rsidR="0032631C" w:rsidRPr="0033559B" w:rsidRDefault="0032631C" w:rsidP="00102245">
            <w:pPr>
              <w:framePr w:w="9178" w:h="13656" w:wrap="around" w:vAnchor="page" w:hAnchor="page" w:x="1419" w:y="1128"/>
              <w:widowControl w:val="0"/>
              <w:numPr>
                <w:ilvl w:val="0"/>
                <w:numId w:val="3"/>
              </w:numPr>
              <w:tabs>
                <w:tab w:val="left" w:pos="438"/>
              </w:tabs>
              <w:spacing w:after="0" w:line="240" w:lineRule="auto"/>
              <w:ind w:left="416" w:right="236" w:hanging="416"/>
              <w:jc w:val="both"/>
              <w:rPr>
                <w:rFonts w:ascii="Arial" w:eastAsia="Times New Roman" w:hAnsi="Arial" w:cs="Arial"/>
                <w:spacing w:val="4"/>
                <w:sz w:val="18"/>
                <w:szCs w:val="18"/>
                <w:lang w:eastAsia="pl-PL" w:bidi="pl-PL"/>
              </w:rPr>
            </w:pPr>
            <w:r w:rsidRPr="0033559B">
              <w:rPr>
                <w:rFonts w:ascii="Arial" w:eastAsia="Times New Roman" w:hAnsi="Arial" w:cs="Arial"/>
                <w:spacing w:val="4"/>
                <w:sz w:val="18"/>
                <w:szCs w:val="18"/>
                <w:lang w:eastAsia="pl-PL" w:bidi="pl-PL"/>
              </w:rPr>
              <w:t>wypłaty sumy ubezpieczenia z tytułu umowy ubezpieczenia na życie w związku ze śmiercią osoby ubezpieczonej lub dożyciem przez nią oznaczonego wieku,</w:t>
            </w:r>
          </w:p>
          <w:p w:rsidR="0032631C" w:rsidRPr="0033559B" w:rsidRDefault="0032631C" w:rsidP="00102245">
            <w:pPr>
              <w:framePr w:w="9178" w:h="13656" w:wrap="around" w:vAnchor="page" w:hAnchor="page" w:x="1419" w:y="1128"/>
              <w:widowControl w:val="0"/>
              <w:numPr>
                <w:ilvl w:val="0"/>
                <w:numId w:val="3"/>
              </w:numPr>
              <w:tabs>
                <w:tab w:val="left" w:pos="438"/>
              </w:tabs>
              <w:spacing w:after="0" w:line="240" w:lineRule="auto"/>
              <w:ind w:left="416" w:right="236" w:hanging="416"/>
              <w:jc w:val="both"/>
              <w:rPr>
                <w:rFonts w:ascii="Arial" w:eastAsia="Times New Roman" w:hAnsi="Arial" w:cs="Arial"/>
                <w:spacing w:val="4"/>
                <w:sz w:val="18"/>
                <w:szCs w:val="18"/>
                <w:lang w:eastAsia="pl-PL" w:bidi="pl-PL"/>
              </w:rPr>
            </w:pPr>
            <w:r w:rsidRPr="0033559B">
              <w:rPr>
                <w:rFonts w:ascii="Arial" w:eastAsia="Times New Roman" w:hAnsi="Arial" w:cs="Arial"/>
                <w:spacing w:val="4"/>
                <w:sz w:val="18"/>
                <w:szCs w:val="18"/>
                <w:lang w:eastAsia="pl-PL" w:bidi="pl-PL"/>
              </w:rPr>
              <w:t>wypłaty sumy ubezpieczenia z tytułu umowy ubezpieczenia następstw nieszczęśliwych wypadków w</w:t>
            </w:r>
            <w:r w:rsidR="00102245">
              <w:rPr>
                <w:rFonts w:ascii="Arial" w:eastAsia="Times New Roman" w:hAnsi="Arial" w:cs="Arial"/>
                <w:spacing w:val="4"/>
                <w:sz w:val="18"/>
                <w:szCs w:val="18"/>
                <w:lang w:eastAsia="pl-PL" w:bidi="pl-PL"/>
              </w:rPr>
              <w:t> </w:t>
            </w:r>
            <w:r w:rsidRPr="0033559B">
              <w:rPr>
                <w:rFonts w:ascii="Arial" w:eastAsia="Times New Roman" w:hAnsi="Arial" w:cs="Arial"/>
                <w:spacing w:val="4"/>
                <w:sz w:val="18"/>
                <w:szCs w:val="18"/>
                <w:lang w:eastAsia="pl-PL" w:bidi="pl-PL"/>
              </w:rPr>
              <w:t>związku z uszkodzeniem ciała, rozstrojem zdrowia lub śmiercią osoby ubezpieczonej wskutek nieszczęśliwego wypadku,</w:t>
            </w:r>
          </w:p>
          <w:p w:rsidR="0032631C" w:rsidRPr="0033559B" w:rsidRDefault="0032631C" w:rsidP="00102245">
            <w:pPr>
              <w:framePr w:w="9178" w:h="13656" w:wrap="around" w:vAnchor="page" w:hAnchor="page" w:x="1419" w:y="1128"/>
              <w:widowControl w:val="0"/>
              <w:numPr>
                <w:ilvl w:val="0"/>
                <w:numId w:val="3"/>
              </w:numPr>
              <w:tabs>
                <w:tab w:val="left" w:pos="438"/>
              </w:tabs>
              <w:spacing w:after="0" w:line="240" w:lineRule="auto"/>
              <w:ind w:left="416" w:right="236" w:hanging="416"/>
              <w:jc w:val="both"/>
              <w:rPr>
                <w:rFonts w:ascii="Arial" w:eastAsia="Times New Roman" w:hAnsi="Arial" w:cs="Arial"/>
                <w:spacing w:val="4"/>
                <w:sz w:val="18"/>
                <w:szCs w:val="18"/>
                <w:lang w:eastAsia="pl-PL" w:bidi="pl-PL"/>
              </w:rPr>
            </w:pPr>
            <w:r w:rsidRPr="0033559B">
              <w:rPr>
                <w:rFonts w:ascii="Arial" w:eastAsia="Times New Roman" w:hAnsi="Arial" w:cs="Arial"/>
                <w:spacing w:val="4"/>
                <w:sz w:val="18"/>
                <w:szCs w:val="18"/>
                <w:lang w:eastAsia="pl-PL" w:bidi="pl-PL"/>
              </w:rPr>
              <w:t>wypłaty odprawy pieniężnej na warunkach i w wysokości określonych w przepisach odrębnych,</w:t>
            </w:r>
          </w:p>
          <w:p w:rsidR="006A171C" w:rsidRPr="009D1F02" w:rsidRDefault="0032631C" w:rsidP="009D1F02">
            <w:pPr>
              <w:framePr w:w="9178" w:h="13656" w:wrap="around" w:vAnchor="page" w:hAnchor="page" w:x="1419" w:y="1128"/>
              <w:widowControl w:val="0"/>
              <w:numPr>
                <w:ilvl w:val="0"/>
                <w:numId w:val="3"/>
              </w:numPr>
              <w:tabs>
                <w:tab w:val="left" w:pos="438"/>
              </w:tabs>
              <w:spacing w:after="0" w:line="240" w:lineRule="auto"/>
              <w:ind w:left="416" w:right="236" w:hanging="416"/>
              <w:jc w:val="both"/>
              <w:rPr>
                <w:rFonts w:ascii="Arial" w:eastAsia="Times New Roman" w:hAnsi="Arial" w:cs="Arial"/>
                <w:spacing w:val="4"/>
                <w:sz w:val="18"/>
                <w:szCs w:val="18"/>
                <w:lang w:eastAsia="pl-PL" w:bidi="pl-PL"/>
              </w:rPr>
            </w:pPr>
            <w:r w:rsidRPr="0033559B">
              <w:rPr>
                <w:rFonts w:ascii="Arial" w:eastAsia="Times New Roman" w:hAnsi="Arial" w:cs="Arial"/>
                <w:spacing w:val="4"/>
                <w:sz w:val="18"/>
                <w:szCs w:val="18"/>
                <w:lang w:eastAsia="pl-PL" w:bidi="pl-PL"/>
              </w:rPr>
              <w:t>wypłaty odprawy emerytalnej lub rentowej, o której mowa w art. 92</w:t>
            </w:r>
            <w:r w:rsidRPr="0033559B">
              <w:rPr>
                <w:rFonts w:ascii="Arial" w:eastAsia="Times New Roman" w:hAnsi="Arial" w:cs="Arial"/>
                <w:spacing w:val="4"/>
                <w:sz w:val="18"/>
                <w:szCs w:val="18"/>
                <w:vertAlign w:val="superscript"/>
                <w:lang w:eastAsia="pl-PL" w:bidi="pl-PL"/>
              </w:rPr>
              <w:t>1</w:t>
            </w:r>
            <w:r w:rsidRPr="0033559B">
              <w:rPr>
                <w:rFonts w:ascii="Arial" w:eastAsia="Times New Roman" w:hAnsi="Arial" w:cs="Arial"/>
                <w:spacing w:val="4"/>
                <w:sz w:val="18"/>
                <w:szCs w:val="18"/>
                <w:lang w:eastAsia="pl-PL" w:bidi="pl-PL"/>
              </w:rPr>
              <w:t xml:space="preserve"> § 1 ustawy z dnia 26 czerwca 1974 r. - Kodeks pracy (Dz. U. z 2014 r. poz. 1502, z </w:t>
            </w:r>
            <w:proofErr w:type="spellStart"/>
            <w:r w:rsidRPr="0033559B">
              <w:rPr>
                <w:rFonts w:ascii="Arial" w:eastAsia="Times New Roman" w:hAnsi="Arial" w:cs="Arial"/>
                <w:spacing w:val="4"/>
                <w:sz w:val="18"/>
                <w:szCs w:val="18"/>
                <w:lang w:eastAsia="pl-PL" w:bidi="pl-PL"/>
              </w:rPr>
              <w:t>późn</w:t>
            </w:r>
            <w:proofErr w:type="spellEnd"/>
            <w:r w:rsidRPr="0033559B">
              <w:rPr>
                <w:rFonts w:ascii="Arial" w:eastAsia="Times New Roman" w:hAnsi="Arial" w:cs="Arial"/>
                <w:spacing w:val="4"/>
                <w:sz w:val="18"/>
                <w:szCs w:val="18"/>
                <w:lang w:eastAsia="pl-PL" w:bidi="pl-PL"/>
              </w:rPr>
              <w:t>. zm.) lub odrębnych przepisach, na warunkach i</w:t>
            </w:r>
            <w:r w:rsidR="00102245">
              <w:rPr>
                <w:rFonts w:ascii="Arial" w:eastAsia="Times New Roman" w:hAnsi="Arial" w:cs="Arial"/>
                <w:spacing w:val="4"/>
                <w:sz w:val="18"/>
                <w:szCs w:val="18"/>
                <w:lang w:eastAsia="pl-PL" w:bidi="pl-PL"/>
              </w:rPr>
              <w:t> </w:t>
            </w:r>
            <w:r w:rsidRPr="0033559B">
              <w:rPr>
                <w:rFonts w:ascii="Arial" w:eastAsia="Times New Roman" w:hAnsi="Arial" w:cs="Arial"/>
                <w:spacing w:val="4"/>
                <w:sz w:val="18"/>
                <w:szCs w:val="18"/>
                <w:lang w:eastAsia="pl-PL" w:bidi="pl-PL"/>
              </w:rPr>
              <w:t>w</w:t>
            </w:r>
            <w:r w:rsidR="00102245">
              <w:rPr>
                <w:rFonts w:ascii="Arial" w:eastAsia="Times New Roman" w:hAnsi="Arial" w:cs="Arial"/>
                <w:spacing w:val="4"/>
                <w:sz w:val="18"/>
                <w:szCs w:val="18"/>
                <w:lang w:eastAsia="pl-PL" w:bidi="pl-PL"/>
              </w:rPr>
              <w:t> </w:t>
            </w:r>
            <w:r w:rsidRPr="0033559B">
              <w:rPr>
                <w:rFonts w:ascii="Arial" w:eastAsia="Times New Roman" w:hAnsi="Arial" w:cs="Arial"/>
                <w:spacing w:val="4"/>
                <w:sz w:val="18"/>
                <w:szCs w:val="18"/>
                <w:lang w:eastAsia="pl-PL" w:bidi="pl-PL"/>
              </w:rPr>
              <w:t>wy</w:t>
            </w:r>
            <w:r w:rsidR="004F2994">
              <w:rPr>
                <w:rFonts w:ascii="Arial" w:eastAsia="Times New Roman" w:hAnsi="Arial" w:cs="Arial"/>
                <w:spacing w:val="4"/>
                <w:sz w:val="18"/>
                <w:szCs w:val="18"/>
                <w:lang w:eastAsia="pl-PL" w:bidi="pl-PL"/>
              </w:rPr>
              <w:t>sokości określonych w tych prze</w:t>
            </w:r>
            <w:r w:rsidRPr="0033559B">
              <w:rPr>
                <w:rFonts w:ascii="Arial" w:eastAsia="Times New Roman" w:hAnsi="Arial" w:cs="Arial"/>
                <w:spacing w:val="4"/>
                <w:sz w:val="18"/>
                <w:szCs w:val="18"/>
                <w:lang w:eastAsia="pl-PL" w:bidi="pl-PL"/>
              </w:rPr>
              <w:t>pisach</w:t>
            </w:r>
            <w:r w:rsidR="009D1F02">
              <w:rPr>
                <w:rFonts w:ascii="Arial" w:eastAsia="Times New Roman" w:hAnsi="Arial" w:cs="Arial"/>
                <w:spacing w:val="4"/>
                <w:sz w:val="18"/>
                <w:szCs w:val="18"/>
                <w:lang w:eastAsia="pl-PL" w:bidi="pl-PL"/>
              </w:rPr>
              <w:t>.</w:t>
            </w:r>
          </w:p>
          <w:p w:rsidR="00A10A64" w:rsidRPr="00003006" w:rsidRDefault="00A10A64" w:rsidP="00BB0CB4">
            <w:pPr>
              <w:framePr w:w="9178" w:h="13656" w:wrap="around" w:vAnchor="page" w:hAnchor="page" w:x="1419" w:y="1128"/>
              <w:ind w:left="20" w:right="20"/>
              <w:rPr>
                <w:rFonts w:ascii="Arial" w:hAnsi="Arial" w:cs="Arial"/>
              </w:rPr>
            </w:pPr>
          </w:p>
          <w:p w:rsidR="00A10A64" w:rsidRDefault="00A10A64" w:rsidP="00BB0CB4">
            <w:pPr>
              <w:framePr w:w="9178" w:h="13656" w:wrap="around" w:vAnchor="page" w:hAnchor="page" w:x="1419" w:y="1128"/>
              <w:ind w:left="20" w:right="20"/>
              <w:rPr>
                <w:rFonts w:ascii="Arial" w:hAnsi="Arial" w:cs="Arial"/>
              </w:rPr>
            </w:pPr>
          </w:p>
          <w:p w:rsidR="00A10A64" w:rsidRDefault="00A10A64"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33559B" w:rsidRDefault="0033559B"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Default="006A171C" w:rsidP="00BB0CB4">
            <w:pPr>
              <w:framePr w:w="9178" w:h="13656" w:wrap="around" w:vAnchor="page" w:hAnchor="page" w:x="1419" w:y="1128"/>
              <w:ind w:left="20" w:right="20"/>
              <w:rPr>
                <w:rFonts w:ascii="Arial" w:hAnsi="Arial" w:cs="Arial"/>
              </w:rPr>
            </w:pPr>
          </w:p>
          <w:p w:rsidR="006A171C" w:rsidRPr="008F4EA3" w:rsidRDefault="006A171C" w:rsidP="00BB0CB4">
            <w:pPr>
              <w:framePr w:w="9178" w:h="13656" w:wrap="around" w:vAnchor="page" w:hAnchor="page" w:x="1419" w:y="1128"/>
              <w:ind w:left="20" w:right="20"/>
              <w:rPr>
                <w:rFonts w:ascii="Arial" w:hAnsi="Arial" w:cs="Arial"/>
              </w:rPr>
            </w:pPr>
          </w:p>
          <w:p w:rsidR="00BB0CB4" w:rsidRPr="008F4EA3" w:rsidRDefault="00BB0CB4" w:rsidP="003A3B43">
            <w:pPr>
              <w:framePr w:w="9178" w:h="13656" w:wrap="around" w:vAnchor="page" w:hAnchor="page" w:x="1419" w:y="1128"/>
              <w:rPr>
                <w:rFonts w:ascii="Arial" w:hAnsi="Arial" w:cs="Arial"/>
              </w:rPr>
            </w:pPr>
          </w:p>
        </w:tc>
      </w:tr>
    </w:tbl>
    <w:p w:rsidR="0033559B" w:rsidRDefault="0033559B">
      <w:pPr>
        <w:rPr>
          <w:rFonts w:ascii="Arial" w:hAnsi="Arial" w:cs="Arial"/>
        </w:rPr>
      </w:pPr>
    </w:p>
    <w:p w:rsidR="004F2994" w:rsidRDefault="009D1F02" w:rsidP="009D1F02">
      <w:pPr>
        <w:framePr w:w="9066" w:h="13307" w:hRule="exact" w:wrap="around" w:vAnchor="page" w:hAnchor="page" w:x="1441" w:y="1022"/>
        <w:widowControl w:val="0"/>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Arial" w:eastAsia="Times New Roman" w:hAnsi="Arial" w:cs="Arial"/>
          <w:spacing w:val="4"/>
          <w:sz w:val="18"/>
          <w:szCs w:val="18"/>
          <w:lang w:eastAsia="pl-PL" w:bidi="pl-PL"/>
        </w:rPr>
      </w:pPr>
      <w:r>
        <w:rPr>
          <w:rFonts w:ascii="Arial" w:eastAsia="Times New Roman" w:hAnsi="Arial" w:cs="Arial"/>
          <w:spacing w:val="4"/>
          <w:sz w:val="18"/>
          <w:szCs w:val="18"/>
          <w:lang w:eastAsia="pl-PL" w:bidi="pl-PL"/>
        </w:rPr>
        <w:t xml:space="preserve">-     </w:t>
      </w:r>
      <w:r w:rsidR="004F2994" w:rsidRPr="0033559B">
        <w:rPr>
          <w:rFonts w:ascii="Arial" w:eastAsia="Times New Roman" w:hAnsi="Arial" w:cs="Arial"/>
          <w:spacing w:val="4"/>
          <w:sz w:val="18"/>
          <w:szCs w:val="18"/>
          <w:lang w:eastAsia="pl-PL" w:bidi="pl-PL"/>
        </w:rPr>
        <w:t>są one objęte ochroną gwarancyjną, w terminie 3 miesięcy od dnia wpływu środków na rachunek lub powstania należności, do wysokości stanowiącej różnicę pomiędzy dwukrotnością limitu równowartości w złotych 100 000 euro a sumą pozostałych środków i należności deponenta, nie wyższą jednak niż limit równowartości w złotych 100 000 euro. Po tym terminie środki i należności deponenta</w:t>
      </w:r>
      <w:r w:rsidR="004F2994" w:rsidRPr="0033559B">
        <w:rPr>
          <w:rFonts w:ascii="Arial" w:eastAsia="Times New Roman" w:hAnsi="Arial" w:cs="Arial"/>
          <w:spacing w:val="4"/>
          <w:sz w:val="20"/>
          <w:szCs w:val="20"/>
          <w:lang w:eastAsia="pl-PL" w:bidi="pl-PL"/>
        </w:rPr>
        <w:t xml:space="preserve"> są objęte obowiązkowym systemem gwarantowania depozytów na zasadach</w:t>
      </w:r>
      <w:r>
        <w:rPr>
          <w:rFonts w:ascii="Arial" w:eastAsia="Times New Roman" w:hAnsi="Arial" w:cs="Arial"/>
          <w:spacing w:val="4"/>
          <w:sz w:val="20"/>
          <w:szCs w:val="20"/>
          <w:lang w:eastAsia="pl-PL" w:bidi="pl-PL"/>
        </w:rPr>
        <w:t xml:space="preserve"> </w:t>
      </w:r>
      <w:r w:rsidRPr="009D1F02">
        <w:rPr>
          <w:rFonts w:ascii="Arial" w:eastAsia="Times New Roman" w:hAnsi="Arial" w:cs="Arial"/>
          <w:spacing w:val="4"/>
          <w:sz w:val="20"/>
          <w:szCs w:val="20"/>
          <w:lang w:eastAsia="pl-PL" w:bidi="pl-PL"/>
        </w:rPr>
        <w:t>ogólnych, tj. do wysokości równowartości w złotych 100 000 euro.</w:t>
      </w:r>
    </w:p>
    <w:p w:rsidR="004F2994" w:rsidRPr="004F2994" w:rsidRDefault="004F2994" w:rsidP="004F2994">
      <w:pPr>
        <w:framePr w:w="9066" w:h="13307" w:hRule="exact" w:wrap="around" w:vAnchor="page" w:hAnchor="page" w:x="1441" w:y="1022"/>
        <w:widowControl w:val="0"/>
        <w:pBdr>
          <w:top w:val="single" w:sz="4" w:space="1" w:color="auto"/>
          <w:left w:val="single" w:sz="4" w:space="4" w:color="auto"/>
          <w:bottom w:val="single" w:sz="4" w:space="1" w:color="auto"/>
          <w:right w:val="single" w:sz="4" w:space="4" w:color="auto"/>
        </w:pBdr>
        <w:tabs>
          <w:tab w:val="left" w:pos="280"/>
        </w:tabs>
        <w:spacing w:after="0" w:line="240" w:lineRule="auto"/>
        <w:jc w:val="both"/>
        <w:rPr>
          <w:rFonts w:ascii="Arial" w:eastAsia="Times New Roman" w:hAnsi="Arial" w:cs="Arial"/>
          <w:spacing w:val="4"/>
          <w:sz w:val="18"/>
          <w:szCs w:val="18"/>
          <w:lang w:eastAsia="pl-PL" w:bidi="pl-PL"/>
        </w:rPr>
      </w:pPr>
    </w:p>
    <w:p w:rsidR="004F2994" w:rsidRPr="004F2994" w:rsidRDefault="004F2994" w:rsidP="004F2994">
      <w:pPr>
        <w:framePr w:w="9066" w:h="13307" w:hRule="exact" w:wrap="around" w:vAnchor="page" w:hAnchor="page" w:x="1441" w:y="1022"/>
        <w:widowControl w:val="0"/>
        <w:pBdr>
          <w:top w:val="single" w:sz="4" w:space="1" w:color="auto"/>
          <w:left w:val="single" w:sz="4" w:space="4" w:color="auto"/>
          <w:bottom w:val="single" w:sz="4" w:space="1" w:color="auto"/>
          <w:right w:val="single" w:sz="4" w:space="4" w:color="auto"/>
        </w:pBdr>
        <w:tabs>
          <w:tab w:val="left" w:pos="280"/>
        </w:tabs>
        <w:spacing w:after="0" w:line="240" w:lineRule="auto"/>
        <w:jc w:val="both"/>
        <w:rPr>
          <w:rFonts w:ascii="Arial" w:eastAsia="Times New Roman" w:hAnsi="Arial" w:cs="Arial"/>
          <w:spacing w:val="4"/>
          <w:sz w:val="18"/>
          <w:szCs w:val="18"/>
          <w:lang w:eastAsia="pl-PL" w:bidi="pl-PL"/>
        </w:rPr>
      </w:pPr>
      <w:r w:rsidRPr="004F2994">
        <w:rPr>
          <w:rFonts w:ascii="Arial" w:eastAsia="Times New Roman" w:hAnsi="Arial" w:cs="Arial"/>
          <w:spacing w:val="4"/>
          <w:sz w:val="18"/>
          <w:szCs w:val="18"/>
          <w:lang w:eastAsia="pl-PL" w:bidi="pl-PL"/>
        </w:rPr>
        <w:t xml:space="preserve">W przypadku gdy środki pochodzą z wypłaty odszkodowania za szkodę wyrządzoną przestępstwem lub zadośćuczynienia za doznaną krzywdę, odszkodowania lub zadośćuczynienia, o którym mowa w art. 552 ustawy z dnia 6 czerwca 1997 r. - Kodeks postępowania karnego (Dz. U. poz. 555, z </w:t>
      </w:r>
      <w:proofErr w:type="spellStart"/>
      <w:r w:rsidRPr="004F2994">
        <w:rPr>
          <w:rFonts w:ascii="Arial" w:eastAsia="Times New Roman" w:hAnsi="Arial" w:cs="Arial"/>
          <w:spacing w:val="4"/>
          <w:sz w:val="18"/>
          <w:szCs w:val="18"/>
          <w:lang w:eastAsia="pl-PL" w:bidi="pl-PL"/>
        </w:rPr>
        <w:t>późn</w:t>
      </w:r>
      <w:proofErr w:type="spellEnd"/>
      <w:r w:rsidRPr="004F2994">
        <w:rPr>
          <w:rFonts w:ascii="Arial" w:eastAsia="Times New Roman" w:hAnsi="Arial" w:cs="Arial"/>
          <w:spacing w:val="4"/>
          <w:sz w:val="18"/>
          <w:szCs w:val="18"/>
          <w:lang w:eastAsia="pl-PL" w:bidi="pl-PL"/>
        </w:rPr>
        <w:t>. zm.), są one objęte ochroną gwarancyjną, w terminie 3 miesięcy od dnia wpływu środków na rachunek lub powstania należności - w całości. Po tym terminie te środki i należności są objęte obowiązkowym systemem gwarantowania depozytów na zasadach ogólnych, tj. do wysokości równowartości w złotych 100 000 euro.</w:t>
      </w:r>
    </w:p>
    <w:p w:rsidR="004F2994" w:rsidRDefault="004F2994" w:rsidP="004F2994">
      <w:pPr>
        <w:framePr w:w="9066" w:h="13307" w:hRule="exact" w:wrap="around" w:vAnchor="page" w:hAnchor="page" w:x="1441" w:y="1022"/>
        <w:widowControl w:val="0"/>
        <w:pBdr>
          <w:top w:val="single" w:sz="4" w:space="1" w:color="auto"/>
          <w:left w:val="single" w:sz="4" w:space="4" w:color="auto"/>
          <w:bottom w:val="single" w:sz="4" w:space="1" w:color="auto"/>
          <w:right w:val="single" w:sz="4" w:space="4" w:color="auto"/>
        </w:pBdr>
        <w:tabs>
          <w:tab w:val="left" w:pos="280"/>
        </w:tabs>
        <w:spacing w:after="0" w:line="240" w:lineRule="auto"/>
        <w:jc w:val="both"/>
        <w:rPr>
          <w:rFonts w:ascii="Arial" w:eastAsia="Times New Roman" w:hAnsi="Arial" w:cs="Arial"/>
          <w:color w:val="0066CC"/>
          <w:spacing w:val="4"/>
          <w:sz w:val="20"/>
          <w:szCs w:val="20"/>
          <w:u w:val="single"/>
          <w:lang w:bidi="en-US"/>
        </w:rPr>
      </w:pPr>
      <w:r w:rsidRPr="004F2994">
        <w:rPr>
          <w:rFonts w:ascii="Arial" w:eastAsia="Times New Roman" w:hAnsi="Arial" w:cs="Arial"/>
          <w:spacing w:val="4"/>
          <w:sz w:val="18"/>
          <w:szCs w:val="18"/>
          <w:lang w:eastAsia="pl-PL" w:bidi="pl-PL"/>
        </w:rPr>
        <w:t xml:space="preserve">Dalsze informacje można uzyskać na następującej stronie internetowej: </w:t>
      </w:r>
      <w:hyperlink r:id="rId9" w:history="1">
        <w:r w:rsidRPr="00E94060">
          <w:rPr>
            <w:rStyle w:val="Hipercze"/>
            <w:rFonts w:ascii="Arial" w:eastAsia="Times New Roman" w:hAnsi="Arial" w:cs="Arial"/>
            <w:spacing w:val="4"/>
            <w:sz w:val="20"/>
            <w:szCs w:val="20"/>
            <w:lang w:bidi="en-US"/>
          </w:rPr>
          <w:t>https://www.bfg.pl</w:t>
        </w:r>
      </w:hyperlink>
    </w:p>
    <w:p w:rsidR="004F2994" w:rsidRDefault="004F2994" w:rsidP="004F2994">
      <w:pPr>
        <w:framePr w:w="9066" w:h="13307" w:hRule="exact" w:wrap="around" w:vAnchor="page" w:hAnchor="page" w:x="1441" w:y="1022"/>
        <w:widowControl w:val="0"/>
        <w:pBdr>
          <w:top w:val="single" w:sz="4" w:space="1" w:color="auto"/>
          <w:left w:val="single" w:sz="4" w:space="4" w:color="auto"/>
          <w:bottom w:val="single" w:sz="4" w:space="1" w:color="auto"/>
          <w:right w:val="single" w:sz="4" w:space="4" w:color="auto"/>
        </w:pBdr>
        <w:tabs>
          <w:tab w:val="left" w:pos="280"/>
        </w:tabs>
        <w:spacing w:after="0" w:line="240" w:lineRule="auto"/>
        <w:jc w:val="both"/>
        <w:rPr>
          <w:rFonts w:ascii="Arial" w:eastAsia="Times New Roman" w:hAnsi="Arial" w:cs="Arial"/>
          <w:spacing w:val="4"/>
          <w:sz w:val="18"/>
          <w:szCs w:val="18"/>
          <w:lang w:eastAsia="pl-PL" w:bidi="pl-PL"/>
        </w:rPr>
      </w:pPr>
    </w:p>
    <w:p w:rsidR="0033559B" w:rsidRPr="005F5828" w:rsidRDefault="0033559B" w:rsidP="00003006">
      <w:pPr>
        <w:framePr w:w="9066" w:h="13307" w:hRule="exact" w:wrap="around" w:vAnchor="page" w:hAnchor="page" w:x="1441" w:y="1022"/>
        <w:widowControl w:val="0"/>
        <w:numPr>
          <w:ilvl w:val="0"/>
          <w:numId w:val="2"/>
        </w:numPr>
        <w:pBdr>
          <w:top w:val="single" w:sz="4" w:space="1" w:color="auto"/>
          <w:left w:val="single" w:sz="4" w:space="4" w:color="auto"/>
          <w:bottom w:val="single" w:sz="4" w:space="1" w:color="auto"/>
          <w:right w:val="single" w:sz="4" w:space="4" w:color="auto"/>
        </w:pBdr>
        <w:tabs>
          <w:tab w:val="left" w:pos="280"/>
        </w:tabs>
        <w:spacing w:after="0" w:line="240" w:lineRule="auto"/>
        <w:jc w:val="both"/>
        <w:rPr>
          <w:rFonts w:ascii="Arial" w:eastAsia="Times New Roman" w:hAnsi="Arial" w:cs="Arial"/>
          <w:spacing w:val="4"/>
          <w:sz w:val="18"/>
          <w:szCs w:val="18"/>
          <w:lang w:eastAsia="pl-PL" w:bidi="pl-PL"/>
        </w:rPr>
      </w:pPr>
      <w:r w:rsidRPr="0033559B">
        <w:rPr>
          <w:rFonts w:ascii="Arial" w:eastAsia="Times New Roman" w:hAnsi="Arial" w:cs="Arial"/>
          <w:spacing w:val="4"/>
          <w:sz w:val="18"/>
          <w:szCs w:val="18"/>
          <w:lang w:eastAsia="pl-PL" w:bidi="pl-PL"/>
        </w:rPr>
        <w:t>Wypłata.</w:t>
      </w:r>
    </w:p>
    <w:p w:rsidR="00003006" w:rsidRPr="005F5828" w:rsidRDefault="00A10A64" w:rsidP="000F5D9E">
      <w:pPr>
        <w:framePr w:w="9066" w:h="13307" w:hRule="exact" w:wrap="around" w:vAnchor="page" w:hAnchor="page" w:x="1441" w:y="1022"/>
        <w:widowControl w:val="0"/>
        <w:pBdr>
          <w:top w:val="single" w:sz="4" w:space="1" w:color="auto"/>
          <w:left w:val="single" w:sz="4" w:space="4" w:color="auto"/>
          <w:bottom w:val="single" w:sz="4" w:space="1" w:color="auto"/>
          <w:right w:val="single" w:sz="4" w:space="4" w:color="auto"/>
        </w:pBdr>
        <w:tabs>
          <w:tab w:val="left" w:pos="280"/>
        </w:tabs>
        <w:spacing w:before="60" w:after="0" w:line="240" w:lineRule="auto"/>
        <w:jc w:val="both"/>
        <w:rPr>
          <w:rFonts w:ascii="Arial" w:eastAsia="Times New Roman" w:hAnsi="Arial" w:cs="Arial"/>
          <w:spacing w:val="4"/>
          <w:sz w:val="18"/>
          <w:szCs w:val="18"/>
          <w:lang w:eastAsia="pl-PL" w:bidi="pl-PL"/>
        </w:rPr>
      </w:pPr>
      <w:r w:rsidRPr="005F5828">
        <w:rPr>
          <w:rFonts w:ascii="Arial" w:hAnsi="Arial" w:cs="Arial"/>
          <w:iCs/>
          <w:sz w:val="18"/>
          <w:szCs w:val="18"/>
        </w:rPr>
        <w:t xml:space="preserve">Podmiotem odpowiedzialnym za wypłatę środków gwarantowanych jest Bankowy Fundusz Gwarancyjny </w:t>
      </w:r>
      <w:r w:rsidR="00A02833">
        <w:rPr>
          <w:rFonts w:ascii="Arial" w:hAnsi="Arial" w:cs="Arial"/>
          <w:sz w:val="18"/>
          <w:szCs w:val="18"/>
        </w:rPr>
        <w:t>(</w:t>
      </w:r>
      <w:r w:rsidR="005F5828" w:rsidRPr="005F5828">
        <w:rPr>
          <w:rFonts w:ascii="Arial" w:hAnsi="Arial" w:cs="Arial"/>
          <w:sz w:val="18"/>
          <w:szCs w:val="18"/>
        </w:rPr>
        <w:t>ul. Ks. Ignacego Jana Skorupki</w:t>
      </w:r>
      <w:r w:rsidR="00A02833">
        <w:rPr>
          <w:rFonts w:ascii="Arial" w:hAnsi="Arial" w:cs="Arial"/>
          <w:sz w:val="18"/>
          <w:szCs w:val="18"/>
        </w:rPr>
        <w:t xml:space="preserve"> 4 00-546 Warszawa, telefon: 22 58 30 700, 22 58 30 701, fax:</w:t>
      </w:r>
      <w:r w:rsidR="005F5828" w:rsidRPr="005F5828">
        <w:rPr>
          <w:rFonts w:ascii="Arial" w:hAnsi="Arial" w:cs="Arial"/>
          <w:sz w:val="18"/>
          <w:szCs w:val="18"/>
        </w:rPr>
        <w:t xml:space="preserve"> </w:t>
      </w:r>
      <w:r w:rsidR="00A02833">
        <w:rPr>
          <w:rFonts w:ascii="Arial" w:hAnsi="Arial" w:cs="Arial"/>
          <w:sz w:val="18"/>
          <w:szCs w:val="18"/>
        </w:rPr>
        <w:t xml:space="preserve">22 58 30 589 e-mail:  </w:t>
      </w:r>
      <w:hyperlink r:id="rId10" w:history="1">
        <w:r w:rsidR="00471FCC" w:rsidRPr="00471FCC">
          <w:rPr>
            <w:rFonts w:ascii="Arial" w:hAnsi="Arial" w:cs="Arial"/>
            <w:bCs/>
            <w:noProof/>
            <w:sz w:val="20"/>
            <w:szCs w:val="20"/>
          </w:rPr>
          <w:t>kancelaria@bfg.p</w:t>
        </w:r>
      </w:hyperlink>
      <w:r w:rsidR="00471FCC" w:rsidRPr="00471FCC">
        <w:rPr>
          <w:rFonts w:ascii="Arial" w:hAnsi="Arial" w:cs="Arial"/>
          <w:bCs/>
          <w:noProof/>
          <w:sz w:val="20"/>
          <w:szCs w:val="20"/>
        </w:rPr>
        <w:t>l</w:t>
      </w:r>
      <w:r w:rsidRPr="005F5828">
        <w:rPr>
          <w:rStyle w:val="TeksttreciKursywaOdstpy0pt"/>
          <w:rFonts w:ascii="Arial" w:eastAsiaTheme="minorHAnsi" w:hAnsi="Arial" w:cs="Arial"/>
          <w:sz w:val="18"/>
          <w:szCs w:val="18"/>
        </w:rPr>
        <w:t>,</w:t>
      </w:r>
      <w:r w:rsidRPr="005F5828">
        <w:rPr>
          <w:rFonts w:ascii="Arial" w:hAnsi="Arial" w:cs="Arial"/>
          <w:sz w:val="18"/>
          <w:szCs w:val="18"/>
        </w:rPr>
        <w:t xml:space="preserve"> strona internetowa: </w:t>
      </w:r>
      <w:hyperlink r:id="rId11" w:history="1">
        <w:r w:rsidRPr="005F5828">
          <w:rPr>
            <w:rStyle w:val="Hipercze"/>
            <w:rFonts w:ascii="Arial" w:hAnsi="Arial" w:cs="Arial"/>
            <w:sz w:val="18"/>
            <w:szCs w:val="18"/>
            <w:lang w:bidi="en-US"/>
          </w:rPr>
          <w:t>https://www.bfg.pl</w:t>
        </w:r>
      </w:hyperlink>
      <w:r w:rsidRPr="005F5828">
        <w:rPr>
          <w:rFonts w:ascii="Arial" w:hAnsi="Arial" w:cs="Arial"/>
          <w:sz w:val="18"/>
          <w:szCs w:val="18"/>
          <w:lang w:bidi="en-US"/>
        </w:rPr>
        <w:t xml:space="preserve">). </w:t>
      </w:r>
      <w:r w:rsidRPr="005F5828">
        <w:rPr>
          <w:rFonts w:ascii="Arial" w:hAnsi="Arial" w:cs="Arial"/>
          <w:sz w:val="18"/>
          <w:szCs w:val="18"/>
        </w:rPr>
        <w:t>Wypłata następuje (w kwocie równowartości w</w:t>
      </w:r>
      <w:r w:rsidR="000F5D9E">
        <w:rPr>
          <w:rFonts w:ascii="Arial" w:hAnsi="Arial" w:cs="Arial"/>
          <w:sz w:val="18"/>
          <w:szCs w:val="18"/>
        </w:rPr>
        <w:t> </w:t>
      </w:r>
      <w:r w:rsidRPr="005F5828">
        <w:rPr>
          <w:rFonts w:ascii="Arial" w:hAnsi="Arial" w:cs="Arial"/>
          <w:sz w:val="18"/>
          <w:szCs w:val="18"/>
        </w:rPr>
        <w:t>złotych do 100 000 euro) najpóźniej w terminie 7 dni roboczych od dnia spełnienia warunku gwarancji, o którym mowa w art. 2 pkt 10 ustawy z dnia 10 czerwca 2016 r. o Bankowym Funduszu Gwarancyjnym, systemie gwarantowania depozytów oraz przymusowej restrukturyzacji, wobec danego podmiotu objętego systemem gwarantowania depozytów.</w:t>
      </w:r>
    </w:p>
    <w:p w:rsidR="00A10A64" w:rsidRPr="005F5828" w:rsidRDefault="00A10A64" w:rsidP="009D1F02">
      <w:pPr>
        <w:framePr w:w="9066" w:h="13307" w:hRule="exact" w:wrap="around" w:vAnchor="page" w:hAnchor="page" w:x="1441" w:y="1022"/>
        <w:widowControl w:val="0"/>
        <w:pBdr>
          <w:top w:val="single" w:sz="4" w:space="1" w:color="auto"/>
          <w:left w:val="single" w:sz="4" w:space="4" w:color="auto"/>
          <w:bottom w:val="single" w:sz="4" w:space="1" w:color="auto"/>
          <w:right w:val="single" w:sz="4" w:space="4" w:color="auto"/>
        </w:pBdr>
        <w:tabs>
          <w:tab w:val="left" w:pos="280"/>
        </w:tabs>
        <w:spacing w:before="120" w:after="0" w:line="240" w:lineRule="auto"/>
        <w:jc w:val="both"/>
        <w:rPr>
          <w:rFonts w:ascii="Arial" w:eastAsia="Times New Roman" w:hAnsi="Arial" w:cs="Arial"/>
          <w:spacing w:val="4"/>
          <w:sz w:val="18"/>
          <w:szCs w:val="18"/>
          <w:lang w:eastAsia="pl-PL" w:bidi="pl-PL"/>
        </w:rPr>
      </w:pPr>
      <w:r w:rsidRPr="005F5828">
        <w:rPr>
          <w:rFonts w:ascii="Arial" w:hAnsi="Arial" w:cs="Arial"/>
          <w:sz w:val="18"/>
          <w:szCs w:val="18"/>
        </w:rPr>
        <w:t>W przypadkach określonych w art. 36 ustawy z dnia 10 czerwca 2016 r. o Bankowym Funduszu Gwarancyjnym, systemie gwarantowania depozytów oraz przymusowej restrukturyzacji termin 7-dniowy może zostać wydłużony.</w:t>
      </w:r>
    </w:p>
    <w:p w:rsidR="00003006" w:rsidRPr="005F5828" w:rsidRDefault="00A10A64" w:rsidP="009D1F02">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19"/>
        </w:tabs>
        <w:spacing w:after="0" w:line="240" w:lineRule="auto"/>
        <w:jc w:val="both"/>
        <w:rPr>
          <w:rFonts w:ascii="Arial" w:hAnsi="Arial" w:cs="Arial"/>
          <w:sz w:val="18"/>
          <w:szCs w:val="18"/>
        </w:rPr>
      </w:pPr>
      <w:r w:rsidRPr="005F5828">
        <w:rPr>
          <w:rFonts w:ascii="Arial" w:hAnsi="Arial" w:cs="Arial"/>
          <w:sz w:val="18"/>
          <w:szCs w:val="18"/>
        </w:rPr>
        <w:t>Jeżeli wypłata środków gwarantowanych nie nastąpiła w tych terminach, należy</w:t>
      </w:r>
      <w:r w:rsidR="009D1F02">
        <w:rPr>
          <w:rFonts w:ascii="Arial" w:hAnsi="Arial" w:cs="Arial"/>
          <w:sz w:val="18"/>
          <w:szCs w:val="18"/>
        </w:rPr>
        <w:t xml:space="preserve"> </w:t>
      </w:r>
      <w:r w:rsidRPr="005F5828">
        <w:rPr>
          <w:rFonts w:ascii="Arial" w:hAnsi="Arial" w:cs="Arial"/>
          <w:sz w:val="18"/>
          <w:szCs w:val="18"/>
        </w:rPr>
        <w:t>skontaktować się z Bankowym Funduszem Gwarancyjnym,</w:t>
      </w:r>
      <w:r w:rsidR="009D1F02">
        <w:rPr>
          <w:rFonts w:ascii="Arial" w:hAnsi="Arial" w:cs="Arial"/>
          <w:sz w:val="18"/>
          <w:szCs w:val="18"/>
        </w:rPr>
        <w:t xml:space="preserve"> ponieważ </w:t>
      </w:r>
      <w:r w:rsidRPr="005F5828">
        <w:rPr>
          <w:rFonts w:ascii="Arial" w:hAnsi="Arial" w:cs="Arial"/>
          <w:sz w:val="18"/>
          <w:szCs w:val="18"/>
        </w:rPr>
        <w:t>termin wnoszenia</w:t>
      </w:r>
      <w:r w:rsidR="005B7043" w:rsidRPr="005F5828">
        <w:rPr>
          <w:rFonts w:ascii="Arial" w:hAnsi="Arial" w:cs="Arial"/>
          <w:sz w:val="18"/>
          <w:szCs w:val="18"/>
        </w:rPr>
        <w:t xml:space="preserve"> </w:t>
      </w:r>
      <w:r w:rsidRPr="005F5828">
        <w:rPr>
          <w:rFonts w:ascii="Arial" w:hAnsi="Arial" w:cs="Arial"/>
          <w:sz w:val="18"/>
          <w:szCs w:val="18"/>
        </w:rPr>
        <w:t xml:space="preserve">roszczeń o ich wypłatę może ulec przedawnieniu. Dalsze informacje można uzyskać na następującej stronie internetowej: </w:t>
      </w:r>
      <w:hyperlink r:id="rId12" w:history="1">
        <w:r w:rsidRPr="005F5828">
          <w:rPr>
            <w:rStyle w:val="Hipercze"/>
            <w:rFonts w:ascii="Arial" w:hAnsi="Arial" w:cs="Arial"/>
            <w:sz w:val="18"/>
            <w:szCs w:val="18"/>
            <w:lang w:bidi="en-US"/>
          </w:rPr>
          <w:t>https://www.bfg.pl</w:t>
        </w:r>
      </w:hyperlink>
      <w:r w:rsidRPr="005F5828">
        <w:rPr>
          <w:rFonts w:ascii="Arial" w:hAnsi="Arial" w:cs="Arial"/>
          <w:sz w:val="18"/>
          <w:szCs w:val="18"/>
          <w:lang w:bidi="en-US"/>
        </w:rPr>
        <w:t>.</w:t>
      </w:r>
    </w:p>
    <w:p w:rsidR="00003006" w:rsidRPr="005F5828" w:rsidRDefault="00A10A64" w:rsidP="009D1F02">
      <w:pPr>
        <w:framePr w:w="9066" w:h="13307" w:hRule="exact" w:wrap="around" w:vAnchor="page" w:hAnchor="page" w:x="1441" w:y="1022"/>
        <w:widowControl w:val="0"/>
        <w:numPr>
          <w:ilvl w:val="0"/>
          <w:numId w:val="2"/>
        </w:numPr>
        <w:pBdr>
          <w:top w:val="single" w:sz="4" w:space="1" w:color="auto"/>
          <w:left w:val="single" w:sz="4" w:space="4" w:color="auto"/>
          <w:bottom w:val="single" w:sz="4" w:space="1" w:color="auto"/>
          <w:right w:val="single" w:sz="4" w:space="4" w:color="auto"/>
        </w:pBdr>
        <w:tabs>
          <w:tab w:val="left" w:pos="280"/>
        </w:tabs>
        <w:spacing w:before="120" w:after="0" w:line="240" w:lineRule="auto"/>
        <w:ind w:left="284" w:hanging="284"/>
        <w:jc w:val="both"/>
        <w:rPr>
          <w:rFonts w:ascii="Arial" w:hAnsi="Arial" w:cs="Arial"/>
          <w:sz w:val="18"/>
          <w:szCs w:val="18"/>
        </w:rPr>
      </w:pPr>
      <w:r w:rsidRPr="005F5828">
        <w:rPr>
          <w:rFonts w:ascii="Arial" w:hAnsi="Arial" w:cs="Arial"/>
          <w:sz w:val="18"/>
          <w:szCs w:val="18"/>
        </w:rPr>
        <w:t>W przypadku gdy deponent korzysta z bankowości internetowej, udostępnienie arkusza informacyjnego oraz potwierdzenie jego otrzymania może nastąpić środkami komunikacji elektronicznej.</w:t>
      </w:r>
    </w:p>
    <w:p w:rsidR="00003006" w:rsidRPr="005F5828" w:rsidRDefault="00A10A64" w:rsidP="000F5D9E">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before="120" w:after="0" w:line="240" w:lineRule="auto"/>
        <w:jc w:val="both"/>
        <w:rPr>
          <w:rFonts w:ascii="Arial" w:hAnsi="Arial" w:cs="Arial"/>
          <w:sz w:val="18"/>
          <w:szCs w:val="18"/>
        </w:rPr>
      </w:pPr>
      <w:r w:rsidRPr="005F5828">
        <w:rPr>
          <w:rFonts w:ascii="Arial" w:hAnsi="Arial" w:cs="Arial"/>
          <w:sz w:val="18"/>
          <w:szCs w:val="18"/>
        </w:rPr>
        <w:t>Inne istotne informacje.</w:t>
      </w:r>
    </w:p>
    <w:p w:rsidR="005B7043" w:rsidRPr="005F5828" w:rsidRDefault="00A10A64" w:rsidP="000F5D9E">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before="60" w:after="0" w:line="240" w:lineRule="auto"/>
        <w:jc w:val="both"/>
        <w:rPr>
          <w:rFonts w:ascii="Arial" w:hAnsi="Arial" w:cs="Arial"/>
          <w:sz w:val="18"/>
          <w:szCs w:val="18"/>
        </w:rPr>
      </w:pPr>
      <w:r w:rsidRPr="005F5828">
        <w:rPr>
          <w:rFonts w:ascii="Arial" w:hAnsi="Arial" w:cs="Arial"/>
          <w:sz w:val="18"/>
          <w:szCs w:val="18"/>
        </w:rPr>
        <w:t>Zasadniczo depozyty wszystkich klientów indywidualnych i przedsiębiorstw są chronione przez systemy gwarancji depozytów. Informacje o wyjątkach obowiązujących w odniesieniu do określonych depozytów zamieszczone są na stronie internetowej właściwego systemu gwarancji depozytów. Na odpowiednie zapytanie również</w:t>
      </w:r>
      <w:r w:rsidR="005B7043" w:rsidRPr="005F5828">
        <w:rPr>
          <w:rFonts w:ascii="Arial" w:hAnsi="Arial" w:cs="Arial"/>
          <w:sz w:val="18"/>
          <w:szCs w:val="18"/>
        </w:rPr>
        <w:t xml:space="preserve"> </w:t>
      </w:r>
      <w:r w:rsidRPr="005F5828">
        <w:rPr>
          <w:rFonts w:ascii="Arial" w:hAnsi="Arial" w:cs="Arial"/>
          <w:sz w:val="18"/>
          <w:szCs w:val="18"/>
        </w:rPr>
        <w:t>podmiot</w:t>
      </w:r>
      <w:r w:rsidR="005B7043" w:rsidRPr="005F5828">
        <w:rPr>
          <w:rFonts w:ascii="Arial" w:hAnsi="Arial" w:cs="Arial"/>
          <w:sz w:val="18"/>
          <w:szCs w:val="18"/>
        </w:rPr>
        <w:t xml:space="preserve"> </w:t>
      </w:r>
      <w:r w:rsidRPr="005F5828">
        <w:rPr>
          <w:rFonts w:ascii="Arial" w:hAnsi="Arial" w:cs="Arial"/>
          <w:sz w:val="18"/>
          <w:szCs w:val="18"/>
        </w:rPr>
        <w:t>objęty</w:t>
      </w:r>
      <w:r w:rsidR="005B7043" w:rsidRPr="005F5828">
        <w:rPr>
          <w:rFonts w:ascii="Arial" w:hAnsi="Arial" w:cs="Arial"/>
          <w:sz w:val="18"/>
          <w:szCs w:val="18"/>
        </w:rPr>
        <w:t xml:space="preserve"> </w:t>
      </w:r>
      <w:r w:rsidRPr="005F5828">
        <w:rPr>
          <w:rFonts w:ascii="Arial" w:hAnsi="Arial" w:cs="Arial"/>
          <w:sz w:val="18"/>
          <w:szCs w:val="18"/>
        </w:rPr>
        <w:t>systemem</w:t>
      </w:r>
      <w:r w:rsidR="005B7043" w:rsidRPr="005F5828">
        <w:rPr>
          <w:rFonts w:ascii="Arial" w:hAnsi="Arial" w:cs="Arial"/>
          <w:sz w:val="18"/>
          <w:szCs w:val="18"/>
        </w:rPr>
        <w:t xml:space="preserve"> </w:t>
      </w:r>
      <w:r w:rsidRPr="005F5828">
        <w:rPr>
          <w:rFonts w:ascii="Arial" w:hAnsi="Arial" w:cs="Arial"/>
          <w:sz w:val="18"/>
          <w:szCs w:val="18"/>
        </w:rPr>
        <w:t>gwarantowania udziela informacji o tym, czy określone produkty są objęte ochroną, bądź nie są objęte ochroną. Jeżeli depozyty są</w:t>
      </w:r>
      <w:r w:rsidR="005B7043" w:rsidRPr="005F5828">
        <w:rPr>
          <w:rFonts w:ascii="Arial" w:hAnsi="Arial" w:cs="Arial"/>
          <w:sz w:val="18"/>
          <w:szCs w:val="18"/>
        </w:rPr>
        <w:t xml:space="preserve"> gwarantowane, podmiot </w:t>
      </w:r>
      <w:r w:rsidRPr="005F5828">
        <w:rPr>
          <w:rFonts w:ascii="Arial" w:hAnsi="Arial" w:cs="Arial"/>
          <w:sz w:val="18"/>
          <w:szCs w:val="18"/>
        </w:rPr>
        <w:t>objęty</w:t>
      </w:r>
      <w:r w:rsidR="005B7043" w:rsidRPr="005F5828">
        <w:rPr>
          <w:rFonts w:ascii="Arial" w:hAnsi="Arial" w:cs="Arial"/>
          <w:sz w:val="18"/>
          <w:szCs w:val="18"/>
        </w:rPr>
        <w:t xml:space="preserve"> </w:t>
      </w:r>
      <w:r w:rsidRPr="005F5828">
        <w:rPr>
          <w:rFonts w:ascii="Arial" w:hAnsi="Arial" w:cs="Arial"/>
          <w:sz w:val="18"/>
          <w:szCs w:val="18"/>
        </w:rPr>
        <w:t>systemem</w:t>
      </w:r>
      <w:r w:rsidR="005B7043" w:rsidRPr="005F5828">
        <w:rPr>
          <w:rFonts w:ascii="Arial" w:hAnsi="Arial" w:cs="Arial"/>
          <w:sz w:val="18"/>
          <w:szCs w:val="18"/>
        </w:rPr>
        <w:t xml:space="preserve"> gwarantowania potwierdza to także na wyciągu z rachunku.</w:t>
      </w:r>
    </w:p>
    <w:p w:rsidR="00003006" w:rsidRPr="005F5828" w:rsidRDefault="00003006"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rPr>
          <w:rFonts w:ascii="Arial" w:hAnsi="Arial" w:cs="Arial"/>
          <w:sz w:val="18"/>
          <w:szCs w:val="18"/>
        </w:rPr>
      </w:pPr>
    </w:p>
    <w:p w:rsidR="00003006" w:rsidRPr="005F5828" w:rsidRDefault="00003006"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rPr>
          <w:rFonts w:ascii="Arial" w:hAnsi="Arial" w:cs="Arial"/>
          <w:sz w:val="18"/>
          <w:szCs w:val="18"/>
        </w:rPr>
      </w:pPr>
    </w:p>
    <w:p w:rsidR="00003006" w:rsidRDefault="00003006"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003006" w:rsidRDefault="00003006"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003006" w:rsidRDefault="00003006"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003006" w:rsidRDefault="00003006"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003006" w:rsidRDefault="00003006"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003006" w:rsidRDefault="00003006"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AA0885" w:rsidRPr="0010224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rPr>
          <w:sz w:val="26"/>
          <w:szCs w:val="26"/>
        </w:rPr>
      </w:pPr>
    </w:p>
    <w:p w:rsidR="00AA0885" w:rsidRDefault="00AA0885" w:rsidP="00003006">
      <w:pPr>
        <w:framePr w:w="9066" w:h="13307" w:hRule="exact" w:wrap="around" w:vAnchor="page" w:hAnchor="page" w:x="1441" w:y="1022"/>
        <w:pBdr>
          <w:top w:val="single" w:sz="4" w:space="1" w:color="auto"/>
          <w:left w:val="single" w:sz="4" w:space="4" w:color="auto"/>
          <w:bottom w:val="single" w:sz="4" w:space="1" w:color="auto"/>
          <w:right w:val="single" w:sz="4" w:space="4" w:color="auto"/>
        </w:pBdr>
        <w:tabs>
          <w:tab w:val="left" w:pos="4644"/>
          <w:tab w:val="left" w:pos="6232"/>
          <w:tab w:val="left" w:pos="7293"/>
          <w:tab w:val="right" w:pos="9060"/>
        </w:tabs>
        <w:spacing w:after="0" w:line="240" w:lineRule="auto"/>
      </w:pPr>
    </w:p>
    <w:p w:rsidR="00BB0CB4" w:rsidRPr="008F4EA3" w:rsidRDefault="00BB0CB4" w:rsidP="00003006">
      <w:pPr>
        <w:framePr w:w="9066" w:h="13307" w:hRule="exact" w:wrap="around" w:vAnchor="page" w:hAnchor="page" w:x="1441" w:y="1022"/>
        <w:widowControl w:val="0"/>
        <w:pBdr>
          <w:top w:val="single" w:sz="4" w:space="1" w:color="auto"/>
          <w:left w:val="single" w:sz="4" w:space="4" w:color="auto"/>
          <w:bottom w:val="single" w:sz="4" w:space="1" w:color="auto"/>
          <w:right w:val="single" w:sz="4" w:space="4" w:color="auto"/>
        </w:pBdr>
        <w:tabs>
          <w:tab w:val="left" w:pos="285"/>
        </w:tabs>
        <w:spacing w:after="0" w:line="240" w:lineRule="auto"/>
        <w:ind w:right="20"/>
        <w:jc w:val="both"/>
        <w:rPr>
          <w:rFonts w:ascii="Arial" w:hAnsi="Arial" w:cs="Arial"/>
        </w:rPr>
      </w:pPr>
    </w:p>
    <w:sectPr w:rsidR="00BB0CB4" w:rsidRPr="008F4EA3" w:rsidSect="00FD4292">
      <w:head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B6A" w:rsidRDefault="00E27B6A" w:rsidP="001B1FF2">
      <w:pPr>
        <w:spacing w:after="0" w:line="240" w:lineRule="auto"/>
      </w:pPr>
      <w:r>
        <w:separator/>
      </w:r>
    </w:p>
  </w:endnote>
  <w:endnote w:type="continuationSeparator" w:id="0">
    <w:p w:rsidR="00E27B6A" w:rsidRDefault="00E27B6A" w:rsidP="001B1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B6A" w:rsidRDefault="00E27B6A" w:rsidP="001B1FF2">
      <w:pPr>
        <w:spacing w:after="0" w:line="240" w:lineRule="auto"/>
      </w:pPr>
      <w:r>
        <w:separator/>
      </w:r>
    </w:p>
  </w:footnote>
  <w:footnote w:type="continuationSeparator" w:id="0">
    <w:p w:rsidR="00E27B6A" w:rsidRDefault="00E27B6A" w:rsidP="001B1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F2" w:rsidRDefault="001B1FF2">
    <w:pPr>
      <w:pStyle w:val="Nagwek"/>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92" w:rsidRDefault="00FD4292" w:rsidP="00FD4292">
    <w:pPr>
      <w:pStyle w:val="Nagwek"/>
    </w:pPr>
    <w:r>
      <w:tab/>
    </w:r>
    <w:r>
      <w:tab/>
    </w:r>
  </w:p>
  <w:p w:rsidR="00FD4292" w:rsidRDefault="00FD4292" w:rsidP="00FD4292">
    <w:pPr>
      <w:pStyle w:val="Nagwek"/>
      <w:tabs>
        <w:tab w:val="clear" w:pos="4536"/>
        <w:tab w:val="clear" w:pos="9072"/>
        <w:tab w:val="left" w:pos="50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7C36"/>
    <w:multiLevelType w:val="multilevel"/>
    <w:tmpl w:val="857A1E7E"/>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903EB0"/>
    <w:multiLevelType w:val="multilevel"/>
    <w:tmpl w:val="58B46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46E9E"/>
    <w:multiLevelType w:val="hybridMultilevel"/>
    <w:tmpl w:val="F56E3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0430664"/>
    <w:multiLevelType w:val="multilevel"/>
    <w:tmpl w:val="13700404"/>
    <w:lvl w:ilvl="0">
      <w:start w:val="4"/>
      <w:numFmt w:val="decimal"/>
      <w:lvlText w:val="%1)"/>
      <w:lvlJc w:val="left"/>
      <w:rPr>
        <w:rFonts w:ascii="Arial" w:eastAsia="Times New Roman" w:hAnsi="Arial" w:cs="Arial" w:hint="default"/>
        <w:b w:val="0"/>
        <w:bCs w:val="0"/>
        <w:i w:val="0"/>
        <w:iCs w:val="0"/>
        <w:smallCaps w:val="0"/>
        <w:strike w:val="0"/>
        <w:color w:val="000000"/>
        <w:spacing w:val="4"/>
        <w:w w:val="100"/>
        <w:position w:val="0"/>
        <w:sz w:val="22"/>
        <w:szCs w:val="2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C0108D"/>
    <w:multiLevelType w:val="multilevel"/>
    <w:tmpl w:val="3AA67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B0CB4"/>
    <w:rsid w:val="00002AD4"/>
    <w:rsid w:val="00003006"/>
    <w:rsid w:val="000F5D9E"/>
    <w:rsid w:val="00102245"/>
    <w:rsid w:val="001063ED"/>
    <w:rsid w:val="001508EF"/>
    <w:rsid w:val="001743C1"/>
    <w:rsid w:val="001B1FF2"/>
    <w:rsid w:val="001B2553"/>
    <w:rsid w:val="00256F83"/>
    <w:rsid w:val="002C6B2B"/>
    <w:rsid w:val="002F3F79"/>
    <w:rsid w:val="00311879"/>
    <w:rsid w:val="0032631C"/>
    <w:rsid w:val="0033559B"/>
    <w:rsid w:val="0041508E"/>
    <w:rsid w:val="00471FCC"/>
    <w:rsid w:val="00487999"/>
    <w:rsid w:val="004F2994"/>
    <w:rsid w:val="00511559"/>
    <w:rsid w:val="00581E93"/>
    <w:rsid w:val="005B7043"/>
    <w:rsid w:val="005F57B3"/>
    <w:rsid w:val="005F5828"/>
    <w:rsid w:val="005F7D86"/>
    <w:rsid w:val="006A171C"/>
    <w:rsid w:val="006B3CD5"/>
    <w:rsid w:val="00742FF9"/>
    <w:rsid w:val="007929B1"/>
    <w:rsid w:val="00881683"/>
    <w:rsid w:val="008F4EA3"/>
    <w:rsid w:val="00946E6D"/>
    <w:rsid w:val="009D1F02"/>
    <w:rsid w:val="00A02833"/>
    <w:rsid w:val="00A10A64"/>
    <w:rsid w:val="00A7747B"/>
    <w:rsid w:val="00AA0885"/>
    <w:rsid w:val="00B109FB"/>
    <w:rsid w:val="00BB0CB4"/>
    <w:rsid w:val="00BF0EA1"/>
    <w:rsid w:val="00C54F6F"/>
    <w:rsid w:val="00CF14BB"/>
    <w:rsid w:val="00E27B6A"/>
    <w:rsid w:val="00EC10E3"/>
    <w:rsid w:val="00F354B6"/>
    <w:rsid w:val="00FD42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15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tabeli">
    <w:name w:val="Podpis tabeli_"/>
    <w:basedOn w:val="Domylnaczcionkaakapitu"/>
    <w:rsid w:val="00BB0CB4"/>
    <w:rPr>
      <w:rFonts w:ascii="Times New Roman" w:eastAsia="Times New Roman" w:hAnsi="Times New Roman" w:cs="Times New Roman"/>
      <w:b w:val="0"/>
      <w:bCs w:val="0"/>
      <w:i w:val="0"/>
      <w:iCs w:val="0"/>
      <w:smallCaps w:val="0"/>
      <w:strike w:val="0"/>
      <w:sz w:val="18"/>
      <w:szCs w:val="18"/>
      <w:u w:val="none"/>
    </w:rPr>
  </w:style>
  <w:style w:type="character" w:customStyle="1" w:styleId="Podpistabeli0">
    <w:name w:val="Podpis tabeli"/>
    <w:basedOn w:val="Podpistabeli"/>
    <w:rsid w:val="00BB0CB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styleId="Hipercze">
    <w:name w:val="Hyperlink"/>
    <w:basedOn w:val="Domylnaczcionkaakapitu"/>
    <w:rsid w:val="00BB0CB4"/>
    <w:rPr>
      <w:color w:val="0066CC"/>
      <w:u w:val="single"/>
    </w:rPr>
  </w:style>
  <w:style w:type="character" w:customStyle="1" w:styleId="Teksttreci">
    <w:name w:val="Tekst treści_"/>
    <w:basedOn w:val="Domylnaczcionkaakapitu"/>
    <w:rsid w:val="00BB0CB4"/>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Teksttreci0">
    <w:name w:val="Tekst treści"/>
    <w:basedOn w:val="Teksttreci"/>
    <w:rsid w:val="00BB0CB4"/>
    <w:rPr>
      <w:rFonts w:ascii="Times New Roman" w:eastAsia="Times New Roman" w:hAnsi="Times New Roman" w:cs="Times New Roman"/>
      <w:b w:val="0"/>
      <w:bCs w:val="0"/>
      <w:i w:val="0"/>
      <w:iCs w:val="0"/>
      <w:smallCaps w:val="0"/>
      <w:strike w:val="0"/>
      <w:color w:val="000000"/>
      <w:spacing w:val="4"/>
      <w:w w:val="100"/>
      <w:position w:val="0"/>
      <w:sz w:val="20"/>
      <w:szCs w:val="20"/>
      <w:u w:val="none"/>
      <w:lang w:val="pl-PL" w:eastAsia="pl-PL" w:bidi="pl-PL"/>
    </w:rPr>
  </w:style>
  <w:style w:type="character" w:customStyle="1" w:styleId="TeksttreciKursywaOdstpy0pt">
    <w:name w:val="Tekst treści + Kursywa;Odstępy 0 pt"/>
    <w:basedOn w:val="Teksttreci"/>
    <w:rsid w:val="00BB0CB4"/>
    <w:rPr>
      <w:rFonts w:ascii="Times New Roman" w:eastAsia="Times New Roman" w:hAnsi="Times New Roman" w:cs="Times New Roman"/>
      <w:b w:val="0"/>
      <w:bCs w:val="0"/>
      <w:i/>
      <w:iCs/>
      <w:smallCaps w:val="0"/>
      <w:strike w:val="0"/>
      <w:color w:val="000000"/>
      <w:spacing w:val="-2"/>
      <w:w w:val="100"/>
      <w:position w:val="0"/>
      <w:sz w:val="20"/>
      <w:szCs w:val="20"/>
      <w:u w:val="none"/>
      <w:lang w:val="pl-PL" w:eastAsia="pl-PL" w:bidi="pl-PL"/>
    </w:rPr>
  </w:style>
  <w:style w:type="character" w:customStyle="1" w:styleId="Teksttreci8">
    <w:name w:val="Tekst treści (8)_"/>
    <w:basedOn w:val="Domylnaczcionkaakapitu"/>
    <w:link w:val="Teksttreci80"/>
    <w:rsid w:val="00A10A64"/>
    <w:rPr>
      <w:rFonts w:ascii="Times New Roman" w:eastAsia="Times New Roman" w:hAnsi="Times New Roman" w:cs="Times New Roman"/>
      <w:i/>
      <w:iCs/>
      <w:spacing w:val="-2"/>
      <w:sz w:val="20"/>
      <w:szCs w:val="20"/>
      <w:shd w:val="clear" w:color="auto" w:fill="FFFFFF"/>
    </w:rPr>
  </w:style>
  <w:style w:type="character" w:customStyle="1" w:styleId="Teksttreci8BezkursywyOdstpy0pt">
    <w:name w:val="Tekst treści (8) + Bez kursywy;Odstępy 0 pt"/>
    <w:basedOn w:val="Teksttreci8"/>
    <w:rsid w:val="00A10A64"/>
    <w:rPr>
      <w:rFonts w:ascii="Times New Roman" w:eastAsia="Times New Roman" w:hAnsi="Times New Roman" w:cs="Times New Roman"/>
      <w:i/>
      <w:iCs/>
      <w:color w:val="000000"/>
      <w:spacing w:val="4"/>
      <w:w w:val="100"/>
      <w:position w:val="0"/>
      <w:sz w:val="20"/>
      <w:szCs w:val="20"/>
      <w:shd w:val="clear" w:color="auto" w:fill="FFFFFF"/>
      <w:lang w:val="pl-PL" w:eastAsia="pl-PL" w:bidi="pl-PL"/>
    </w:rPr>
  </w:style>
  <w:style w:type="paragraph" w:customStyle="1" w:styleId="Teksttreci80">
    <w:name w:val="Tekst treści (8)"/>
    <w:basedOn w:val="Normalny"/>
    <w:link w:val="Teksttreci8"/>
    <w:rsid w:val="00A10A64"/>
    <w:pPr>
      <w:widowControl w:val="0"/>
      <w:shd w:val="clear" w:color="auto" w:fill="FFFFFF"/>
      <w:spacing w:after="0" w:line="413" w:lineRule="exact"/>
      <w:jc w:val="both"/>
    </w:pPr>
    <w:rPr>
      <w:rFonts w:ascii="Times New Roman" w:eastAsia="Times New Roman" w:hAnsi="Times New Roman" w:cs="Times New Roman"/>
      <w:i/>
      <w:iCs/>
      <w:spacing w:val="-2"/>
      <w:sz w:val="20"/>
      <w:szCs w:val="20"/>
    </w:rPr>
  </w:style>
  <w:style w:type="paragraph" w:styleId="Akapitzlist">
    <w:name w:val="List Paragraph"/>
    <w:basedOn w:val="Normalny"/>
    <w:uiPriority w:val="34"/>
    <w:qFormat/>
    <w:rsid w:val="0032631C"/>
    <w:pPr>
      <w:ind w:left="720"/>
      <w:contextualSpacing/>
    </w:pPr>
  </w:style>
  <w:style w:type="paragraph" w:styleId="Tekstdymka">
    <w:name w:val="Balloon Text"/>
    <w:basedOn w:val="Normalny"/>
    <w:link w:val="TekstdymkaZnak"/>
    <w:uiPriority w:val="99"/>
    <w:semiHidden/>
    <w:unhideWhenUsed/>
    <w:rsid w:val="001022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2245"/>
    <w:rPr>
      <w:rFonts w:ascii="Tahoma" w:hAnsi="Tahoma" w:cs="Tahoma"/>
      <w:sz w:val="16"/>
      <w:szCs w:val="16"/>
    </w:rPr>
  </w:style>
  <w:style w:type="paragraph" w:styleId="Nagwek">
    <w:name w:val="header"/>
    <w:basedOn w:val="Normalny"/>
    <w:link w:val="NagwekZnak"/>
    <w:uiPriority w:val="99"/>
    <w:unhideWhenUsed/>
    <w:rsid w:val="001B1F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1FF2"/>
  </w:style>
  <w:style w:type="paragraph" w:styleId="Stopka">
    <w:name w:val="footer"/>
    <w:basedOn w:val="Normalny"/>
    <w:link w:val="StopkaZnak"/>
    <w:uiPriority w:val="99"/>
    <w:unhideWhenUsed/>
    <w:rsid w:val="001B1F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1FF2"/>
  </w:style>
</w:styles>
</file>

<file path=word/webSettings.xml><?xml version="1.0" encoding="utf-8"?>
<w:webSettings xmlns:r="http://schemas.openxmlformats.org/officeDocument/2006/relationships" xmlns:w="http://schemas.openxmlformats.org/wordprocessingml/2006/main">
  <w:divs>
    <w:div w:id="983120907">
      <w:bodyDiv w:val="1"/>
      <w:marLeft w:val="0"/>
      <w:marRight w:val="0"/>
      <w:marTop w:val="0"/>
      <w:marBottom w:val="0"/>
      <w:divBdr>
        <w:top w:val="none" w:sz="0" w:space="0" w:color="auto"/>
        <w:left w:val="none" w:sz="0" w:space="0" w:color="auto"/>
        <w:bottom w:val="none" w:sz="0" w:space="0" w:color="auto"/>
        <w:right w:val="none" w:sz="0" w:space="0" w:color="auto"/>
      </w:divBdr>
      <w:divsChild>
        <w:div w:id="1405489061">
          <w:marLeft w:val="0"/>
          <w:marRight w:val="0"/>
          <w:marTop w:val="0"/>
          <w:marBottom w:val="0"/>
          <w:divBdr>
            <w:top w:val="none" w:sz="0" w:space="0" w:color="auto"/>
            <w:left w:val="none" w:sz="0" w:space="0" w:color="auto"/>
            <w:bottom w:val="none" w:sz="0" w:space="0" w:color="auto"/>
            <w:right w:val="none" w:sz="0" w:space="0" w:color="auto"/>
          </w:divBdr>
        </w:div>
        <w:div w:id="1181775211">
          <w:marLeft w:val="0"/>
          <w:marRight w:val="0"/>
          <w:marTop w:val="0"/>
          <w:marBottom w:val="0"/>
          <w:divBdr>
            <w:top w:val="none" w:sz="0" w:space="0" w:color="auto"/>
            <w:left w:val="none" w:sz="0" w:space="0" w:color="auto"/>
            <w:bottom w:val="none" w:sz="0" w:space="0" w:color="auto"/>
            <w:right w:val="none" w:sz="0" w:space="0" w:color="auto"/>
          </w:divBdr>
        </w:div>
        <w:div w:id="589629130">
          <w:marLeft w:val="0"/>
          <w:marRight w:val="0"/>
          <w:marTop w:val="0"/>
          <w:marBottom w:val="0"/>
          <w:divBdr>
            <w:top w:val="none" w:sz="0" w:space="0" w:color="auto"/>
            <w:left w:val="none" w:sz="0" w:space="0" w:color="auto"/>
            <w:bottom w:val="none" w:sz="0" w:space="0" w:color="auto"/>
            <w:right w:val="none" w:sz="0" w:space="0" w:color="auto"/>
          </w:divBdr>
        </w:div>
        <w:div w:id="134689591">
          <w:marLeft w:val="0"/>
          <w:marRight w:val="0"/>
          <w:marTop w:val="0"/>
          <w:marBottom w:val="0"/>
          <w:divBdr>
            <w:top w:val="none" w:sz="0" w:space="0" w:color="auto"/>
            <w:left w:val="none" w:sz="0" w:space="0" w:color="auto"/>
            <w:bottom w:val="none" w:sz="0" w:space="0" w:color="auto"/>
            <w:right w:val="none" w:sz="0" w:space="0" w:color="auto"/>
          </w:divBdr>
        </w:div>
        <w:div w:id="1300648628">
          <w:marLeft w:val="0"/>
          <w:marRight w:val="0"/>
          <w:marTop w:val="0"/>
          <w:marBottom w:val="0"/>
          <w:divBdr>
            <w:top w:val="none" w:sz="0" w:space="0" w:color="auto"/>
            <w:left w:val="none" w:sz="0" w:space="0" w:color="auto"/>
            <w:bottom w:val="none" w:sz="0" w:space="0" w:color="auto"/>
            <w:right w:val="none" w:sz="0" w:space="0" w:color="auto"/>
          </w:divBdr>
        </w:div>
        <w:div w:id="1658609802">
          <w:marLeft w:val="0"/>
          <w:marRight w:val="0"/>
          <w:marTop w:val="0"/>
          <w:marBottom w:val="0"/>
          <w:divBdr>
            <w:top w:val="none" w:sz="0" w:space="0" w:color="auto"/>
            <w:left w:val="none" w:sz="0" w:space="0" w:color="auto"/>
            <w:bottom w:val="none" w:sz="0" w:space="0" w:color="auto"/>
            <w:right w:val="none" w:sz="0" w:space="0" w:color="auto"/>
          </w:divBdr>
        </w:div>
        <w:div w:id="1055859352">
          <w:marLeft w:val="0"/>
          <w:marRight w:val="0"/>
          <w:marTop w:val="0"/>
          <w:marBottom w:val="0"/>
          <w:divBdr>
            <w:top w:val="none" w:sz="0" w:space="0" w:color="auto"/>
            <w:left w:val="none" w:sz="0" w:space="0" w:color="auto"/>
            <w:bottom w:val="none" w:sz="0" w:space="0" w:color="auto"/>
            <w:right w:val="none" w:sz="0" w:space="0" w:color="auto"/>
          </w:divBdr>
        </w:div>
        <w:div w:id="1142426160">
          <w:marLeft w:val="0"/>
          <w:marRight w:val="0"/>
          <w:marTop w:val="0"/>
          <w:marBottom w:val="0"/>
          <w:divBdr>
            <w:top w:val="none" w:sz="0" w:space="0" w:color="auto"/>
            <w:left w:val="none" w:sz="0" w:space="0" w:color="auto"/>
            <w:bottom w:val="none" w:sz="0" w:space="0" w:color="auto"/>
            <w:right w:val="none" w:sz="0" w:space="0" w:color="auto"/>
          </w:divBdr>
        </w:div>
        <w:div w:id="1706099413">
          <w:marLeft w:val="0"/>
          <w:marRight w:val="0"/>
          <w:marTop w:val="0"/>
          <w:marBottom w:val="0"/>
          <w:divBdr>
            <w:top w:val="none" w:sz="0" w:space="0" w:color="auto"/>
            <w:left w:val="none" w:sz="0" w:space="0" w:color="auto"/>
            <w:bottom w:val="none" w:sz="0" w:space="0" w:color="auto"/>
            <w:right w:val="none" w:sz="0" w:space="0" w:color="auto"/>
          </w:divBdr>
        </w:div>
        <w:div w:id="1079715312">
          <w:marLeft w:val="0"/>
          <w:marRight w:val="0"/>
          <w:marTop w:val="0"/>
          <w:marBottom w:val="0"/>
          <w:divBdr>
            <w:top w:val="none" w:sz="0" w:space="0" w:color="auto"/>
            <w:left w:val="none" w:sz="0" w:space="0" w:color="auto"/>
            <w:bottom w:val="none" w:sz="0" w:space="0" w:color="auto"/>
            <w:right w:val="none" w:sz="0" w:space="0" w:color="auto"/>
          </w:divBdr>
        </w:div>
        <w:div w:id="47808299">
          <w:marLeft w:val="0"/>
          <w:marRight w:val="0"/>
          <w:marTop w:val="0"/>
          <w:marBottom w:val="0"/>
          <w:divBdr>
            <w:top w:val="none" w:sz="0" w:space="0" w:color="auto"/>
            <w:left w:val="none" w:sz="0" w:space="0" w:color="auto"/>
            <w:bottom w:val="none" w:sz="0" w:space="0" w:color="auto"/>
            <w:right w:val="none" w:sz="0" w:space="0" w:color="auto"/>
          </w:divBdr>
        </w:div>
      </w:divsChild>
    </w:div>
    <w:div w:id="1926331071">
      <w:bodyDiv w:val="1"/>
      <w:marLeft w:val="0"/>
      <w:marRight w:val="0"/>
      <w:marTop w:val="0"/>
      <w:marBottom w:val="0"/>
      <w:divBdr>
        <w:top w:val="none" w:sz="0" w:space="0" w:color="auto"/>
        <w:left w:val="none" w:sz="0" w:space="0" w:color="auto"/>
        <w:bottom w:val="none" w:sz="0" w:space="0" w:color="auto"/>
        <w:right w:val="none" w:sz="0" w:space="0" w:color="auto"/>
      </w:divBdr>
      <w:divsChild>
        <w:div w:id="1714380639">
          <w:marLeft w:val="0"/>
          <w:marRight w:val="0"/>
          <w:marTop w:val="0"/>
          <w:marBottom w:val="0"/>
          <w:divBdr>
            <w:top w:val="none" w:sz="0" w:space="0" w:color="auto"/>
            <w:left w:val="none" w:sz="0" w:space="0" w:color="auto"/>
            <w:bottom w:val="none" w:sz="0" w:space="0" w:color="auto"/>
            <w:right w:val="none" w:sz="0" w:space="0" w:color="auto"/>
          </w:divBdr>
        </w:div>
        <w:div w:id="1466461646">
          <w:marLeft w:val="0"/>
          <w:marRight w:val="0"/>
          <w:marTop w:val="0"/>
          <w:marBottom w:val="0"/>
          <w:divBdr>
            <w:top w:val="none" w:sz="0" w:space="0" w:color="auto"/>
            <w:left w:val="none" w:sz="0" w:space="0" w:color="auto"/>
            <w:bottom w:val="none" w:sz="0" w:space="0" w:color="auto"/>
            <w:right w:val="none" w:sz="0" w:space="0" w:color="auto"/>
          </w:divBdr>
        </w:div>
        <w:div w:id="599073215">
          <w:marLeft w:val="0"/>
          <w:marRight w:val="0"/>
          <w:marTop w:val="0"/>
          <w:marBottom w:val="0"/>
          <w:divBdr>
            <w:top w:val="none" w:sz="0" w:space="0" w:color="auto"/>
            <w:left w:val="none" w:sz="0" w:space="0" w:color="auto"/>
            <w:bottom w:val="none" w:sz="0" w:space="0" w:color="auto"/>
            <w:right w:val="none" w:sz="0" w:space="0" w:color="auto"/>
          </w:divBdr>
        </w:div>
        <w:div w:id="814490604">
          <w:marLeft w:val="0"/>
          <w:marRight w:val="0"/>
          <w:marTop w:val="0"/>
          <w:marBottom w:val="0"/>
          <w:divBdr>
            <w:top w:val="none" w:sz="0" w:space="0" w:color="auto"/>
            <w:left w:val="none" w:sz="0" w:space="0" w:color="auto"/>
            <w:bottom w:val="none" w:sz="0" w:space="0" w:color="auto"/>
            <w:right w:val="none" w:sz="0" w:space="0" w:color="auto"/>
          </w:divBdr>
        </w:div>
        <w:div w:id="507864251">
          <w:marLeft w:val="0"/>
          <w:marRight w:val="0"/>
          <w:marTop w:val="0"/>
          <w:marBottom w:val="0"/>
          <w:divBdr>
            <w:top w:val="none" w:sz="0" w:space="0" w:color="auto"/>
            <w:left w:val="none" w:sz="0" w:space="0" w:color="auto"/>
            <w:bottom w:val="none" w:sz="0" w:space="0" w:color="auto"/>
            <w:right w:val="none" w:sz="0" w:space="0" w:color="auto"/>
          </w:divBdr>
        </w:div>
        <w:div w:id="319310076">
          <w:marLeft w:val="0"/>
          <w:marRight w:val="0"/>
          <w:marTop w:val="0"/>
          <w:marBottom w:val="0"/>
          <w:divBdr>
            <w:top w:val="none" w:sz="0" w:space="0" w:color="auto"/>
            <w:left w:val="none" w:sz="0" w:space="0" w:color="auto"/>
            <w:bottom w:val="none" w:sz="0" w:space="0" w:color="auto"/>
            <w:right w:val="none" w:sz="0" w:space="0" w:color="auto"/>
          </w:divBdr>
        </w:div>
        <w:div w:id="420106364">
          <w:marLeft w:val="0"/>
          <w:marRight w:val="0"/>
          <w:marTop w:val="0"/>
          <w:marBottom w:val="0"/>
          <w:divBdr>
            <w:top w:val="none" w:sz="0" w:space="0" w:color="auto"/>
            <w:left w:val="none" w:sz="0" w:space="0" w:color="auto"/>
            <w:bottom w:val="none" w:sz="0" w:space="0" w:color="auto"/>
            <w:right w:val="none" w:sz="0" w:space="0" w:color="auto"/>
          </w:divBdr>
        </w:div>
        <w:div w:id="1453866078">
          <w:marLeft w:val="0"/>
          <w:marRight w:val="0"/>
          <w:marTop w:val="0"/>
          <w:marBottom w:val="0"/>
          <w:divBdr>
            <w:top w:val="none" w:sz="0" w:space="0" w:color="auto"/>
            <w:left w:val="none" w:sz="0" w:space="0" w:color="auto"/>
            <w:bottom w:val="none" w:sz="0" w:space="0" w:color="auto"/>
            <w:right w:val="none" w:sz="0" w:space="0" w:color="auto"/>
          </w:divBdr>
        </w:div>
        <w:div w:id="64038609">
          <w:marLeft w:val="0"/>
          <w:marRight w:val="0"/>
          <w:marTop w:val="0"/>
          <w:marBottom w:val="0"/>
          <w:divBdr>
            <w:top w:val="none" w:sz="0" w:space="0" w:color="auto"/>
            <w:left w:val="none" w:sz="0" w:space="0" w:color="auto"/>
            <w:bottom w:val="none" w:sz="0" w:space="0" w:color="auto"/>
            <w:right w:val="none" w:sz="0" w:space="0" w:color="auto"/>
          </w:divBdr>
        </w:div>
        <w:div w:id="721946360">
          <w:marLeft w:val="0"/>
          <w:marRight w:val="0"/>
          <w:marTop w:val="0"/>
          <w:marBottom w:val="0"/>
          <w:divBdr>
            <w:top w:val="none" w:sz="0" w:space="0" w:color="auto"/>
            <w:left w:val="none" w:sz="0" w:space="0" w:color="auto"/>
            <w:bottom w:val="none" w:sz="0" w:space="0" w:color="auto"/>
            <w:right w:val="none" w:sz="0" w:space="0" w:color="auto"/>
          </w:divBdr>
        </w:div>
        <w:div w:id="134003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f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aria@bfg.pl" TargetMode="External"/><Relationship Id="rId4" Type="http://schemas.openxmlformats.org/officeDocument/2006/relationships/settings" Target="settings.xml"/><Relationship Id="rId9" Type="http://schemas.openxmlformats.org/officeDocument/2006/relationships/hyperlink" Target="https://www.bfg.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25EB4-5392-4481-864F-80536CEC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7918</Characters>
  <Application>Microsoft Office Word</Application>
  <DocSecurity>4</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Bank BPS SA</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Rogowski</dc:creator>
  <cp:lastModifiedBy>a</cp:lastModifiedBy>
  <cp:revision>2</cp:revision>
  <cp:lastPrinted>2016-10-03T07:16:00Z</cp:lastPrinted>
  <dcterms:created xsi:type="dcterms:W3CDTF">2017-01-03T08:28:00Z</dcterms:created>
  <dcterms:modified xsi:type="dcterms:W3CDTF">2017-01-03T08:28:00Z</dcterms:modified>
</cp:coreProperties>
</file>